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pPr>
      <w:r>
        <w:rPr>
          <w:rFonts w:cs="Times New Roman" w:ascii="Times New Roman" w:hAnsi="Times New Roman"/>
          <w:b/>
          <w:bCs/>
          <w:sz w:val="24"/>
          <w:szCs w:val="24"/>
          <w:lang w:val="en-US"/>
        </w:rPr>
        <w:t>Контролна листа преузета од Министарства заштите животне средине -</w:t>
      </w:r>
      <w:r>
        <w:rPr>
          <w:rFonts w:eastAsia="Times New Roman" w:cs="Times New Roman" w:ascii="Times New Roman" w:hAnsi="Times New Roman"/>
          <w:b/>
          <w:bCs/>
          <w:sz w:val="24"/>
          <w:szCs w:val="24"/>
          <w:lang w:val="sr-RS"/>
        </w:rPr>
        <w:t xml:space="preserve"> </w:t>
      </w:r>
      <w:r>
        <w:rPr>
          <w:rFonts w:eastAsia="Times New Roman" w:cs="Times New Roman" w:ascii="Times New Roman" w:hAnsi="Times New Roman"/>
          <w:b/>
          <w:bCs/>
          <w:sz w:val="24"/>
          <w:szCs w:val="24"/>
          <w:lang w:val="en-US"/>
        </w:rPr>
        <w:t xml:space="preserve">Сектор </w:t>
      </w:r>
      <w:r>
        <w:rPr>
          <w:rFonts w:eastAsia="Times New Roman" w:cs="Times New Roman" w:ascii="Times New Roman" w:hAnsi="Times New Roman"/>
          <w:b/>
          <w:bCs/>
          <w:sz w:val="24"/>
          <w:szCs w:val="24"/>
          <w:lang w:val="sr-RS"/>
        </w:rPr>
        <w:t xml:space="preserve">за надзор и предострожност у животној средини - </w:t>
      </w:r>
      <w:r>
        <w:rPr>
          <w:rFonts w:eastAsia="Times New Roman" w:cs="Times New Roman" w:ascii="Times New Roman" w:hAnsi="Times New Roman"/>
          <w:b/>
          <w:bCs/>
          <w:sz w:val="24"/>
          <w:szCs w:val="24"/>
          <w:lang w:val="en-US"/>
        </w:rPr>
        <w:t>Инспекција за заштиту животне средине</w:t>
      </w:r>
      <w:r>
        <w:rPr>
          <w:rFonts w:cs="Times New Roman" w:ascii="Times New Roman" w:hAnsi="Times New Roman"/>
          <w:b/>
          <w:bCs/>
          <w:sz w:val="24"/>
          <w:szCs w:val="24"/>
          <w:lang w:val="en-US"/>
        </w:rPr>
        <w:t xml:space="preserve"> интернет </w:t>
      </w:r>
    </w:p>
    <w:p>
      <w:pPr>
        <w:pStyle w:val="Normal"/>
        <w:spacing w:lineRule="auto" w:line="240" w:before="0" w:after="0"/>
        <w:jc w:val="both"/>
        <w:rPr/>
      </w:pPr>
      <w:r>
        <w:rPr>
          <w:rFonts w:cs="Times New Roman" w:ascii="Times New Roman" w:hAnsi="Times New Roman"/>
          <w:b/>
          <w:bCs/>
          <w:sz w:val="24"/>
          <w:szCs w:val="24"/>
          <w:lang w:val="en-US"/>
        </w:rPr>
        <w:t xml:space="preserve">адреса: </w:t>
      </w:r>
      <w:r>
        <w:rPr>
          <w:rFonts w:eastAsia="Times New Roman" w:cs="Times New Roman" w:ascii="Times New Roman" w:hAnsi="Times New Roman"/>
          <w:b/>
          <w:bCs/>
          <w:sz w:val="24"/>
          <w:szCs w:val="24"/>
          <w:lang w:val="sr-RS"/>
        </w:rPr>
        <w:t>https://www.ekologija.gov.rs/dozvole-obrasci/kontrolne-liste</w:t>
      </w:r>
    </w:p>
    <w:p>
      <w:pPr>
        <w:pStyle w:val="Normal"/>
        <w:suppressLineNumbers/>
        <w:spacing w:lineRule="auto" w:line="240" w:before="0" w:after="0"/>
        <w:ind w:left="60" w:hanging="0"/>
        <w:jc w:val="center"/>
        <w:rPr>
          <w:rFonts w:ascii="Times New Roman" w:hAnsi="Times New Roman" w:eastAsia="Times New Roman" w:cs="Times New Roman"/>
          <w:b/>
          <w:b/>
          <w:sz w:val="24"/>
          <w:szCs w:val="24"/>
          <w:lang w:val="sr-RS"/>
        </w:rPr>
      </w:pPr>
      <w:r>
        <w:rPr/>
      </w:r>
    </w:p>
    <w:p>
      <w:pPr>
        <w:pStyle w:val="Normal"/>
        <w:suppressLineNumbers/>
        <w:spacing w:lineRule="auto" w:line="240" w:before="0" w:after="0"/>
        <w:jc w:val="center"/>
        <w:rPr>
          <w:rFonts w:ascii="Times New Roman" w:hAnsi="Times New Roman" w:eastAsia="Times New Roman" w:cs="Times New Roman"/>
          <w:b/>
          <w:b/>
          <w:sz w:val="24"/>
          <w:szCs w:val="24"/>
          <w:lang w:val="sr-RS" w:eastAsia="sr-Latn-RS"/>
        </w:rPr>
      </w:pPr>
      <w:r>
        <w:rPr/>
      </w:r>
    </w:p>
    <w:p>
      <w:pPr>
        <w:pStyle w:val="Normal"/>
        <w:suppressLineNumbers/>
        <w:spacing w:lineRule="auto" w:line="240" w:before="0" w:after="0"/>
        <w:jc w:val="center"/>
        <w:rPr>
          <w:rFonts w:ascii="Times New Roman" w:hAnsi="Times New Roman" w:eastAsia="Times New Roman" w:cs="Times New Roman"/>
          <w:b/>
          <w:b/>
          <w:sz w:val="24"/>
          <w:szCs w:val="24"/>
          <w:lang w:val="sr-RS" w:eastAsia="sr-Latn-RS"/>
        </w:rPr>
      </w:pPr>
      <w:r>
        <w:rPr>
          <w:rFonts w:eastAsia="Times New Roman" w:cs="Times New Roman" w:ascii="Times New Roman" w:hAnsi="Times New Roman"/>
          <w:b/>
          <w:sz w:val="24"/>
          <w:szCs w:val="24"/>
          <w:lang w:val="sr-RS" w:eastAsia="sr-Latn-RS"/>
        </w:rPr>
        <w:t>ЗАШТИТА ЖИВОТНЕ СРЕДИНЕ У ИНДУСТРИЈСКИМ ОБЈЕКТИМА</w:t>
      </w:r>
    </w:p>
    <w:p>
      <w:pPr>
        <w:pStyle w:val="Normal"/>
        <w:suppressLineNumbers/>
        <w:spacing w:lineRule="auto" w:line="240" w:before="0" w:after="0"/>
        <w:jc w:val="center"/>
        <w:rPr>
          <w:rFonts w:ascii="Times New Roman" w:hAnsi="Times New Roman" w:eastAsia="Times New Roman" w:cs="Times New Roman"/>
          <w:b/>
          <w:b/>
          <w:sz w:val="24"/>
          <w:szCs w:val="24"/>
          <w:lang w:val="sr-RS" w:eastAsia="sr-Latn-RS"/>
        </w:rPr>
      </w:pPr>
      <w:r>
        <w:rPr>
          <w:rFonts w:eastAsia="Times New Roman" w:cs="Times New Roman" w:ascii="Times New Roman" w:hAnsi="Times New Roman"/>
          <w:b/>
          <w:sz w:val="24"/>
          <w:szCs w:val="24"/>
          <w:lang w:val="sr-RS" w:eastAsia="sr-Latn-RS"/>
        </w:rPr>
      </w:r>
    </w:p>
    <w:p>
      <w:pPr>
        <w:pStyle w:val="Normal"/>
        <w:suppressLineNumbers/>
        <w:spacing w:lineRule="auto" w:line="240" w:before="0" w:after="0"/>
        <w:ind w:left="60" w:hanging="0"/>
        <w:jc w:val="center"/>
        <w:rPr>
          <w:rFonts w:ascii="Times New Roman" w:hAnsi="Times New Roman" w:eastAsia="Times New Roman" w:cs="Times New Roman"/>
          <w:b/>
          <w:b/>
          <w:sz w:val="24"/>
          <w:szCs w:val="24"/>
          <w:lang w:val="sr-RS" w:eastAsia="sr-Latn-RS"/>
        </w:rPr>
      </w:pPr>
      <w:r>
        <w:rPr>
          <w:rFonts w:eastAsia="Times New Roman" w:cs="Times New Roman" w:ascii="Times New Roman" w:hAnsi="Times New Roman"/>
          <w:b/>
          <w:sz w:val="24"/>
          <w:szCs w:val="24"/>
          <w:lang w:val="sr-RS" w:eastAsia="sr-Latn-RS"/>
        </w:rPr>
        <w:t>Контролна листа: ЗАШТИТА ОЗОНСКОГ ОМОТАЧА КОД ОПЕРАТЕРА</w:t>
      </w:r>
    </w:p>
    <w:p>
      <w:pPr>
        <w:pStyle w:val="Normal"/>
        <w:spacing w:lineRule="auto" w:line="240" w:before="0" w:after="0"/>
        <w:jc w:val="center"/>
        <w:rPr>
          <w:rFonts w:ascii="Times New Roman" w:hAnsi="Times New Roman" w:eastAsia="Calibri" w:cs="Times New Roman"/>
          <w:b/>
          <w:b/>
          <w:i/>
          <w:i/>
          <w:iCs/>
          <w:sz w:val="28"/>
          <w:szCs w:val="28"/>
          <w:lang w:val="sr-RS"/>
        </w:rPr>
      </w:pPr>
      <w:r>
        <w:rPr>
          <w:rFonts w:eastAsia="Times New Roman" w:cs="Times New Roman" w:ascii="Times New Roman" w:hAnsi="Times New Roman"/>
          <w:sz w:val="24"/>
          <w:szCs w:val="24"/>
          <w:lang w:val="sr-RS" w:eastAsia="sr-Latn-RS"/>
        </w:rPr>
        <w:t>Обавезе за оператера из Закона о заштити ваздуха, у вези контролисаних</w:t>
      </w:r>
      <w:r>
        <w:rPr>
          <w:rFonts w:eastAsia="Times New Roman" w:cs="Times New Roman" w:ascii="Times New Roman" w:hAnsi="Times New Roman"/>
          <w:sz w:val="24"/>
          <w:szCs w:val="24"/>
          <w:lang w:val="sr-Latn-RS" w:eastAsia="sr-Latn-RS"/>
        </w:rPr>
        <w:t xml:space="preserve"> </w:t>
      </w:r>
      <w:r>
        <w:rPr>
          <w:rFonts w:eastAsia="Times New Roman" w:cs="Times New Roman" w:ascii="Times New Roman" w:hAnsi="Times New Roman"/>
          <w:sz w:val="24"/>
          <w:szCs w:val="24"/>
          <w:lang w:val="sr-RS" w:eastAsia="sr-Latn-RS"/>
        </w:rPr>
        <w:t>супстанци које оштећују озонски омотач и флуорованих гасова са ефектом стаклене баште</w:t>
      </w:r>
    </w:p>
    <w:p>
      <w:pPr>
        <w:pStyle w:val="Normal"/>
        <w:spacing w:lineRule="auto" w:line="240" w:before="0" w:after="0"/>
        <w:ind w:left="-810" w:hanging="0"/>
        <w:jc w:val="both"/>
        <w:rPr>
          <w:rFonts w:ascii="Times New Roman" w:hAnsi="Times New Roman" w:eastAsia="Calibri" w:cs="Times New Roman"/>
          <w:iCs/>
          <w:sz w:val="24"/>
          <w:szCs w:val="24"/>
          <w:lang w:val="sr-RS"/>
        </w:rPr>
      </w:pPr>
      <w:r>
        <w:rPr>
          <w:rFonts w:eastAsia="Calibri" w:cs="Times New Roman" w:ascii="Times New Roman" w:hAnsi="Times New Roman"/>
          <w:iCs/>
          <w:sz w:val="24"/>
          <w:szCs w:val="24"/>
          <w:lang w:val="sr-RS"/>
        </w:rPr>
      </w:r>
    </w:p>
    <w:p>
      <w:pPr>
        <w:pStyle w:val="Normal"/>
        <w:spacing w:lineRule="auto" w:line="240" w:before="0" w:after="0"/>
        <w:ind w:left="-810" w:hanging="0"/>
        <w:jc w:val="both"/>
        <w:rPr>
          <w:rFonts w:ascii="Times New Roman" w:hAnsi="Times New Roman" w:eastAsia="Calibri" w:cs="Times New Roman"/>
          <w:iCs/>
          <w:sz w:val="24"/>
          <w:szCs w:val="24"/>
          <w:lang w:val="sr-RS"/>
        </w:rPr>
      </w:pPr>
      <w:r>
        <w:rPr>
          <w:rFonts w:eastAsia="Calibri" w:cs="Times New Roman" w:ascii="Times New Roman" w:hAnsi="Times New Roman"/>
          <w:iCs/>
          <w:sz w:val="24"/>
          <w:szCs w:val="24"/>
          <w:lang w:val="sr-RS"/>
        </w:rPr>
        <w:t>Контролна листа се попуњава само за привредно друштво, друго правно лице или предузетнике, у складу са значењем израза за оператера из члана 3. Закона о заштити ваздуха.</w:t>
      </w:r>
    </w:p>
    <w:p>
      <w:pPr>
        <w:pStyle w:val="Normal"/>
        <w:spacing w:lineRule="auto" w:line="240" w:before="0" w:after="0"/>
        <w:rPr>
          <w:rFonts w:ascii="Times New Roman" w:hAnsi="Times New Roman" w:cs="Times New Roman"/>
          <w:sz w:val="16"/>
          <w:szCs w:val="16"/>
          <w:lang w:val="sr-RS"/>
        </w:rPr>
      </w:pPr>
      <w:r>
        <w:rPr>
          <w:rFonts w:cs="Times New Roman" w:ascii="Times New Roman" w:hAnsi="Times New Roman"/>
          <w:sz w:val="16"/>
          <w:szCs w:val="16"/>
          <w:lang w:val="sr-RS"/>
        </w:rPr>
      </w:r>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Табела А</w:t>
      </w:r>
      <w:r>
        <w:rPr>
          <w:rFonts w:cs="Times New Roman" w:ascii="Times New Roman" w:hAnsi="Times New Roman"/>
          <w:sz w:val="24"/>
          <w:szCs w:val="24"/>
          <w:lang w:val="sr-Latn-RS"/>
        </w:rPr>
        <w:t xml:space="preserve">: </w:t>
      </w:r>
      <w:r>
        <w:rPr>
          <w:rFonts w:cs="Times New Roman" w:ascii="Times New Roman" w:hAnsi="Times New Roman"/>
          <w:sz w:val="24"/>
          <w:szCs w:val="24"/>
          <w:lang w:val="sr-RS"/>
        </w:rPr>
        <w:t>Општи подаци</w:t>
      </w:r>
    </w:p>
    <w:tbl>
      <w:tblPr>
        <w:tblStyle w:val="TableGrid"/>
        <w:tblW w:w="11034" w:type="dxa"/>
        <w:jc w:val="center"/>
        <w:tblInd w:w="0" w:type="dxa"/>
        <w:tblCellMar>
          <w:top w:w="0" w:type="dxa"/>
          <w:left w:w="108" w:type="dxa"/>
          <w:bottom w:w="0" w:type="dxa"/>
          <w:right w:w="108" w:type="dxa"/>
        </w:tblCellMar>
        <w:tblLook w:firstRow="1" w:noVBand="1" w:lastRow="0" w:firstColumn="1" w:lastColumn="0" w:noHBand="0" w:val="04a0"/>
      </w:tblPr>
      <w:tblGrid>
        <w:gridCol w:w="4861"/>
        <w:gridCol w:w="6172"/>
      </w:tblGrid>
      <w:tr>
        <w:trPr>
          <w:trHeight w:val="277" w:hRule="atLeast"/>
        </w:trPr>
        <w:tc>
          <w:tcPr>
            <w:tcW w:w="4861" w:type="dxa"/>
            <w:tcBorders/>
            <w:vAlign w:val="center"/>
          </w:tcPr>
          <w:p>
            <w:pPr>
              <w:pStyle w:val="Normal"/>
              <w:spacing w:lineRule="auto" w:line="240" w:before="0" w:after="0"/>
              <w:rPr>
                <w:rFonts w:ascii="Times New Roman" w:hAnsi="Times New Roman" w:cs="Times New Roman"/>
                <w:bCs/>
                <w:sz w:val="24"/>
                <w:szCs w:val="24"/>
                <w:lang w:val="sr-RS"/>
              </w:rPr>
            </w:pPr>
            <w:r>
              <w:rPr>
                <w:rFonts w:cs="Times New Roman" w:ascii="Times New Roman" w:hAnsi="Times New Roman"/>
                <w:bCs/>
                <w:sz w:val="24"/>
                <w:szCs w:val="24"/>
                <w:lang w:val="sr-RS"/>
              </w:rPr>
              <w:t>Назив оператера</w:t>
            </w:r>
          </w:p>
        </w:tc>
        <w:tc>
          <w:tcPr>
            <w:tcW w:w="617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277" w:hRule="atLeast"/>
        </w:trPr>
        <w:tc>
          <w:tcPr>
            <w:tcW w:w="4861" w:type="dxa"/>
            <w:tcBorders/>
            <w:vAlign w:val="center"/>
          </w:tcPr>
          <w:p>
            <w:pPr>
              <w:pStyle w:val="Normal"/>
              <w:spacing w:lineRule="auto" w:line="240" w:before="0" w:after="0"/>
              <w:rPr>
                <w:rFonts w:ascii="Times New Roman" w:hAnsi="Times New Roman" w:cs="Times New Roman"/>
                <w:bCs/>
                <w:sz w:val="24"/>
                <w:szCs w:val="24"/>
                <w:lang w:val="sr-RS"/>
              </w:rPr>
            </w:pPr>
            <w:r>
              <w:rPr>
                <w:rFonts w:cs="Times New Roman" w:ascii="Times New Roman" w:hAnsi="Times New Roman"/>
                <w:bCs/>
                <w:sz w:val="24"/>
                <w:szCs w:val="24"/>
                <w:lang w:val="sr-RS"/>
              </w:rPr>
              <w:t>Општина и место седишта</w:t>
            </w:r>
          </w:p>
        </w:tc>
        <w:tc>
          <w:tcPr>
            <w:tcW w:w="617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277" w:hRule="atLeast"/>
        </w:trPr>
        <w:tc>
          <w:tcPr>
            <w:tcW w:w="4861" w:type="dxa"/>
            <w:tcBorders/>
            <w:vAlign w:val="center"/>
          </w:tcPr>
          <w:p>
            <w:pPr>
              <w:pStyle w:val="Normal"/>
              <w:spacing w:lineRule="auto" w:line="240" w:before="0" w:after="0"/>
              <w:rPr>
                <w:rFonts w:ascii="Times New Roman" w:hAnsi="Times New Roman" w:cs="Times New Roman"/>
                <w:bCs/>
                <w:sz w:val="24"/>
                <w:szCs w:val="24"/>
                <w:lang w:val="sr-RS"/>
              </w:rPr>
            </w:pPr>
            <w:r>
              <w:rPr>
                <w:rFonts w:cs="Times New Roman" w:ascii="Times New Roman" w:hAnsi="Times New Roman"/>
                <w:bCs/>
                <w:sz w:val="24"/>
                <w:szCs w:val="24"/>
                <w:lang w:val="sr-RS"/>
              </w:rPr>
              <w:t>Матични број</w:t>
            </w:r>
          </w:p>
        </w:tc>
        <w:tc>
          <w:tcPr>
            <w:tcW w:w="6172" w:type="dxa"/>
            <w:tcBorders/>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277" w:hRule="atLeast"/>
        </w:trPr>
        <w:tc>
          <w:tcPr>
            <w:tcW w:w="4861" w:type="dxa"/>
            <w:tcBorders/>
            <w:vAlign w:val="center"/>
          </w:tcPr>
          <w:p>
            <w:pPr>
              <w:pStyle w:val="Normal"/>
              <w:spacing w:lineRule="auto" w:line="240" w:before="0" w:after="0"/>
              <w:rPr>
                <w:rFonts w:ascii="Times New Roman" w:hAnsi="Times New Roman" w:cs="Times New Roman"/>
                <w:bCs/>
                <w:sz w:val="24"/>
                <w:szCs w:val="24"/>
                <w:lang w:val="sr-RS"/>
              </w:rPr>
            </w:pPr>
            <w:r>
              <w:rPr>
                <w:rFonts w:cs="Times New Roman" w:ascii="Times New Roman" w:hAnsi="Times New Roman"/>
                <w:bCs/>
                <w:sz w:val="24"/>
                <w:szCs w:val="24"/>
                <w:lang w:val="sr-RS"/>
              </w:rPr>
              <w:t>ПИБ</w:t>
            </w:r>
          </w:p>
        </w:tc>
        <w:tc>
          <w:tcPr>
            <w:tcW w:w="6172" w:type="dxa"/>
            <w:tcBorders/>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r>
          </w:p>
        </w:tc>
      </w:tr>
      <w:tr>
        <w:trPr>
          <w:trHeight w:val="277" w:hRule="atLeast"/>
        </w:trPr>
        <w:tc>
          <w:tcPr>
            <w:tcW w:w="4861" w:type="dxa"/>
            <w:tcBorders/>
            <w:vAlign w:val="center"/>
          </w:tcPr>
          <w:p>
            <w:pPr>
              <w:pStyle w:val="Normal"/>
              <w:spacing w:lineRule="auto" w:line="240" w:before="0" w:after="0"/>
              <w:rPr>
                <w:rFonts w:ascii="Times New Roman" w:hAnsi="Times New Roman" w:cs="Times New Roman"/>
                <w:bCs/>
                <w:color w:val="FF0000"/>
                <w:sz w:val="24"/>
                <w:szCs w:val="24"/>
                <w:lang w:val="sr-RS"/>
              </w:rPr>
            </w:pPr>
            <w:r>
              <w:rPr>
                <w:rFonts w:cs="Times New Roman" w:ascii="Times New Roman" w:hAnsi="Times New Roman"/>
                <w:bCs/>
                <w:sz w:val="24"/>
                <w:szCs w:val="24"/>
                <w:lang w:val="sr-RS"/>
              </w:rPr>
              <w:t>Име особе за контакт</w:t>
            </w:r>
          </w:p>
        </w:tc>
        <w:tc>
          <w:tcPr>
            <w:tcW w:w="6172" w:type="dxa"/>
            <w:tcBorders/>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r>
          </w:p>
        </w:tc>
      </w:tr>
      <w:tr>
        <w:trPr>
          <w:trHeight w:val="277" w:hRule="atLeast"/>
        </w:trPr>
        <w:tc>
          <w:tcPr>
            <w:tcW w:w="4861" w:type="dxa"/>
            <w:tcBorders/>
            <w:vAlign w:val="center"/>
          </w:tcPr>
          <w:p>
            <w:pPr>
              <w:pStyle w:val="Normal"/>
              <w:spacing w:lineRule="auto" w:line="240" w:before="0" w:after="0"/>
              <w:rPr>
                <w:rFonts w:ascii="Times New Roman" w:hAnsi="Times New Roman" w:cs="Times New Roman"/>
                <w:bCs/>
                <w:sz w:val="24"/>
                <w:szCs w:val="24"/>
                <w:lang w:val="sr-RS"/>
              </w:rPr>
            </w:pPr>
            <w:r>
              <w:rPr>
                <w:rFonts w:cs="Times New Roman" w:ascii="Times New Roman" w:hAnsi="Times New Roman"/>
                <w:bCs/>
                <w:sz w:val="24"/>
                <w:szCs w:val="24"/>
                <w:lang w:val="sr-RS"/>
              </w:rPr>
              <w:t>Телефон и електронска адреса контакт особе</w:t>
            </w:r>
          </w:p>
        </w:tc>
        <w:tc>
          <w:tcPr>
            <w:tcW w:w="6172" w:type="dxa"/>
            <w:tcBorders/>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r>
          </w:p>
        </w:tc>
      </w:tr>
      <w:tr>
        <w:trPr>
          <w:trHeight w:val="277" w:hRule="atLeast"/>
        </w:trPr>
        <w:tc>
          <w:tcPr>
            <w:tcW w:w="486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bCs/>
                <w:sz w:val="24"/>
                <w:szCs w:val="24"/>
                <w:lang w:val="sr-RS"/>
              </w:rPr>
            </w:pPr>
            <w:r>
              <w:rPr>
                <w:rFonts w:cs="Times New Roman" w:ascii="Times New Roman" w:hAnsi="Times New Roman"/>
                <w:bCs/>
                <w:sz w:val="24"/>
                <w:szCs w:val="24"/>
                <w:lang w:val="sr-RS"/>
              </w:rPr>
              <w:t xml:space="preserve">Назив постројења </w:t>
            </w:r>
          </w:p>
        </w:tc>
        <w:tc>
          <w:tcPr>
            <w:tcW w:w="6172" w:type="dxa"/>
            <w:tcBorders/>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r>
          </w:p>
        </w:tc>
      </w:tr>
      <w:tr>
        <w:trPr>
          <w:trHeight w:val="277" w:hRule="atLeast"/>
        </w:trPr>
        <w:tc>
          <w:tcPr>
            <w:tcW w:w="4861"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bCs/>
                <w:sz w:val="24"/>
                <w:szCs w:val="24"/>
                <w:lang w:val="sr-RS"/>
              </w:rPr>
            </w:pPr>
            <w:r>
              <w:rPr>
                <w:rFonts w:cs="Times New Roman" w:ascii="Times New Roman" w:hAnsi="Times New Roman"/>
                <w:bCs/>
                <w:sz w:val="24"/>
                <w:szCs w:val="24"/>
                <w:lang w:val="sr-RS"/>
              </w:rPr>
              <w:t>Општина</w:t>
            </w:r>
            <w:r>
              <w:rPr>
                <w:rFonts w:cs="Times New Roman" w:ascii="Times New Roman" w:hAnsi="Times New Roman"/>
                <w:bCs/>
                <w:sz w:val="24"/>
                <w:szCs w:val="24"/>
              </w:rPr>
              <w:t xml:space="preserve"> </w:t>
            </w:r>
            <w:r>
              <w:rPr>
                <w:rFonts w:cs="Times New Roman" w:ascii="Times New Roman" w:hAnsi="Times New Roman"/>
                <w:bCs/>
                <w:sz w:val="24"/>
                <w:szCs w:val="24"/>
                <w:lang w:val="sr-RS"/>
              </w:rPr>
              <w:t>и место постројења</w:t>
            </w:r>
          </w:p>
        </w:tc>
        <w:tc>
          <w:tcPr>
            <w:tcW w:w="6172" w:type="dxa"/>
            <w:tcBorders/>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r>
          </w:p>
        </w:tc>
      </w:tr>
    </w:tbl>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Табела Б: </w:t>
      </w:r>
      <w:r>
        <w:rPr>
          <w:rFonts w:eastAsia="Times New Roman" w:cs="Times New Roman" w:ascii="Times New Roman" w:hAnsi="Times New Roman"/>
          <w:sz w:val="24"/>
          <w:szCs w:val="24"/>
          <w:lang w:val="sr-RS" w:eastAsia="sr-Latn-RS"/>
        </w:rPr>
        <w:t>Статус правног лица, предузетника</w:t>
      </w:r>
    </w:p>
    <w:tbl>
      <w:tblPr>
        <w:tblStyle w:val="TableGrid"/>
        <w:tblW w:w="11034" w:type="dxa"/>
        <w:jc w:val="center"/>
        <w:tblInd w:w="0" w:type="dxa"/>
        <w:tblCellMar>
          <w:top w:w="0" w:type="dxa"/>
          <w:left w:w="108" w:type="dxa"/>
          <w:bottom w:w="0" w:type="dxa"/>
          <w:right w:w="108" w:type="dxa"/>
        </w:tblCellMar>
        <w:tblLook w:firstRow="1" w:noVBand="1" w:lastRow="0" w:firstColumn="1" w:lastColumn="0" w:noHBand="0" w:val="04a0"/>
      </w:tblPr>
      <w:tblGrid>
        <w:gridCol w:w="8604"/>
        <w:gridCol w:w="2429"/>
      </w:tblGrid>
      <w:tr>
        <w:trPr/>
        <w:tc>
          <w:tcPr>
            <w:tcW w:w="8604" w:type="dxa"/>
            <w:tcBorders/>
            <w:shd w:color="auto" w:fill="auto" w:val="clear"/>
            <w:vAlign w:val="center"/>
          </w:tcPr>
          <w:p>
            <w:pPr>
              <w:pStyle w:val="Normal"/>
              <w:spacing w:lineRule="auto" w:line="240" w:before="0" w:after="0"/>
              <w:jc w:val="center"/>
              <w:rPr>
                <w:rFonts w:ascii="Times New Roman" w:hAnsi="Times New Roman" w:cs="Times New Roman"/>
                <w:sz w:val="24"/>
                <w:szCs w:val="24"/>
                <w:lang w:val="sr-Latn-CS"/>
              </w:rPr>
            </w:pPr>
            <w:r>
              <w:rPr>
                <w:rFonts w:cs="Times New Roman" w:ascii="Times New Roman" w:hAnsi="Times New Roman"/>
                <w:sz w:val="24"/>
                <w:szCs w:val="24"/>
                <w:lang w:val="sr-RS"/>
              </w:rPr>
              <w:t xml:space="preserve">Да ли је правно лице, предузетник регистрован у АПР-у </w:t>
            </w:r>
          </w:p>
        </w:tc>
        <w:tc>
          <w:tcPr>
            <w:tcW w:w="2429" w:type="dxa"/>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НЕ *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tc>
      </w:tr>
      <w:tr>
        <w:trPr/>
        <w:tc>
          <w:tcPr>
            <w:tcW w:w="11033" w:type="dxa"/>
            <w:gridSpan w:val="2"/>
            <w:tcBorders/>
            <w:shd w:color="auto" w:fill="auto" w:val="clea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b/>
                <w:sz w:val="24"/>
                <w:szCs w:val="24"/>
                <w:lang w:val="sr-RS"/>
              </w:rPr>
              <w:t>Када је</w:t>
            </w:r>
            <w:r>
              <w:rPr>
                <w:rFonts w:cs="Times New Roman" w:ascii="Times New Roman" w:hAnsi="Times New Roman"/>
                <w:sz w:val="24"/>
                <w:szCs w:val="24"/>
                <w:lang w:val="sr-RS"/>
              </w:rPr>
              <w:t xml:space="preserve"> </w:t>
            </w:r>
            <w:r>
              <w:rPr>
                <w:rFonts w:cs="Times New Roman" w:ascii="Times New Roman" w:hAnsi="Times New Roman"/>
                <w:b/>
                <w:sz w:val="24"/>
                <w:szCs w:val="24"/>
                <w:lang w:val="sr-RS"/>
              </w:rPr>
              <w:t>одговор „НЕ“, правно лице и предузетник се сматрају нерегистрованим и надзор се врши у складу са одредбом члана 33. Закона о инспекцијском надзору</w:t>
            </w:r>
          </w:p>
        </w:tc>
      </w:tr>
    </w:tbl>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Табела В: Законске обавезе</w:t>
      </w:r>
    </w:p>
    <w:tbl>
      <w:tblPr>
        <w:tblStyle w:val="TableGrid"/>
        <w:tblW w:w="11043" w:type="dxa"/>
        <w:jc w:val="center"/>
        <w:tblInd w:w="0" w:type="dxa"/>
        <w:tblCellMar>
          <w:top w:w="0" w:type="dxa"/>
          <w:left w:w="28" w:type="dxa"/>
          <w:bottom w:w="0" w:type="dxa"/>
          <w:right w:w="28" w:type="dxa"/>
        </w:tblCellMar>
        <w:tblLook w:firstRow="1" w:noVBand="1" w:lastRow="0" w:firstColumn="1" w:lastColumn="0" w:noHBand="0" w:val="04a0"/>
      </w:tblPr>
      <w:tblGrid>
        <w:gridCol w:w="535"/>
        <w:gridCol w:w="7960"/>
        <w:gridCol w:w="2539"/>
        <w:gridCol w:w="9"/>
      </w:tblGrid>
      <w:tr>
        <w:trPr>
          <w:trHeight w:val="312" w:hRule="atLeast"/>
          <w:cantSplit w:val="true"/>
        </w:trPr>
        <w:tc>
          <w:tcPr>
            <w:tcW w:w="11034" w:type="dxa"/>
            <w:gridSpan w:val="3"/>
            <w:tcBorders/>
            <w:vAlign w:val="center"/>
          </w:tcPr>
          <w:p>
            <w:pPr>
              <w:pStyle w:val="Normal"/>
              <w:spacing w:lineRule="auto" w:line="240" w:before="0" w:after="0"/>
              <w:jc w:val="center"/>
              <w:rPr>
                <w:rFonts w:ascii="Times New Roman" w:hAnsi="Times New Roman" w:eastAsia="Times New Roman" w:cs="Times New Roman"/>
                <w:bCs/>
                <w:sz w:val="24"/>
                <w:szCs w:val="24"/>
                <w:lang w:val="sr-RS" w:eastAsia="sr-Latn-RS"/>
              </w:rPr>
            </w:pPr>
            <w:r>
              <w:rPr>
                <w:rFonts w:eastAsia="Times New Roman" w:cs="Times New Roman" w:ascii="Times New Roman" w:hAnsi="Times New Roman"/>
                <w:bCs/>
                <w:sz w:val="24"/>
                <w:szCs w:val="24"/>
                <w:lang w:val="sr-RS" w:eastAsia="sr-Latn-RS"/>
              </w:rPr>
              <w:t>А) Контрола испуштања контролисаних супстанци које оштећују озонски омотач и флуорованих гасова са ефектом стаклене баште,</w:t>
            </w:r>
            <w:r>
              <w:rPr>
                <w:lang w:val="sr-RS"/>
              </w:rPr>
              <w:t xml:space="preserve"> </w:t>
            </w:r>
            <w:r>
              <w:rPr>
                <w:rFonts w:cs="Times New Roman" w:ascii="Times New Roman" w:hAnsi="Times New Roman"/>
                <w:b/>
                <w:sz w:val="24"/>
                <w:szCs w:val="24"/>
                <w:lang w:val="sr-RS"/>
              </w:rPr>
              <w:t>за стационарну расхладну и климатизациону опрему, топлотне пумпе и системе за заштиту од пожара</w:t>
            </w:r>
          </w:p>
        </w:tc>
        <w:tc>
          <w:tcPr>
            <w:tcW w:w="9" w:type="dxa"/>
            <w:tcBorders>
              <w:top w:val="nil"/>
              <w:left w:val="nil"/>
              <w:bottom w:val="nil"/>
              <w:right w:val="nil"/>
            </w:tcBorders>
            <w:tcMar>
              <w:left w:w="108" w:type="dxa"/>
              <w:right w:w="108" w:type="dxa"/>
            </w:tcMar>
          </w:tcPr>
          <w:p>
            <w:pPr>
              <w:pStyle w:val="Normal"/>
              <w:widowControl/>
              <w:bidi w:val="0"/>
              <w:spacing w:lineRule="auto" w:line="259" w:before="0" w:after="160"/>
              <w:jc w:val="left"/>
              <w:rPr/>
            </w:pPr>
            <w:r>
              <w:rPr/>
            </w:r>
          </w:p>
        </w:tc>
      </w:tr>
      <w:tr>
        <w:trPr>
          <w:cantSplit w:val="true"/>
        </w:trPr>
        <w:tc>
          <w:tcPr>
            <w:tcW w:w="53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А1</w:t>
            </w:r>
          </w:p>
        </w:tc>
        <w:tc>
          <w:tcPr>
            <w:tcW w:w="7960" w:type="dxa"/>
            <w:tcBorders>
              <w:top w:val="single" w:sz="6" w:space="0" w:color="000000"/>
              <w:left w:val="single" w:sz="6" w:space="0" w:color="000000"/>
              <w:right w:val="single" w:sz="6" w:space="0" w:color="000000"/>
            </w:tcBorders>
            <w:shd w:color="auto" w:fill="auto" w:val="clear"/>
            <w:vAlign w:val="center"/>
          </w:tcPr>
          <w:p>
            <w:pPr>
              <w:pStyle w:val="Normal"/>
              <w:spacing w:lineRule="auto" w:line="240" w:before="0" w:after="0"/>
              <w:ind w:left="144" w:right="144" w:hanging="0"/>
              <w:jc w:val="both"/>
              <w:rPr>
                <w:rFonts w:ascii="Times New Roman" w:hAnsi="Times New Roman" w:cs="Times New Roman"/>
                <w:sz w:val="24"/>
                <w:szCs w:val="24"/>
                <w:lang w:val="sr-RS"/>
              </w:rPr>
            </w:pPr>
            <w:r>
              <w:rPr>
                <w:rFonts w:cs="Times New Roman" w:ascii="Times New Roman" w:hAnsi="Times New Roman"/>
                <w:sz w:val="24"/>
                <w:szCs w:val="24"/>
                <w:lang w:val="sr-RS"/>
              </w:rPr>
              <w:t>Да ли је овлашћено сервисно лице извршило једном у 12 месеци контролу на испуштање за:</w:t>
            </w:r>
          </w:p>
          <w:p>
            <w:pPr>
              <w:pStyle w:val="Normal"/>
              <w:spacing w:lineRule="auto" w:line="240" w:before="0" w:after="0"/>
              <w:ind w:left="144" w:right="144" w:hanging="0"/>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1) контролисане супстанце количине једнаке или веће од 3 kg а мање од 30 kg, са изузетком херметички затворених система у којима се оне користе као расхладна средства, који су као такви обележени и који садрже мање од 6 kg контролисаних суптанци; и за </w:t>
            </w:r>
          </w:p>
          <w:p>
            <w:pPr>
              <w:pStyle w:val="Normal"/>
              <w:spacing w:lineRule="auto" w:line="240" w:before="0" w:after="0"/>
              <w:ind w:left="144" w:right="144" w:hanging="0"/>
              <w:jc w:val="both"/>
              <w:rPr>
                <w:rFonts w:ascii="Times New Roman" w:hAnsi="Times New Roman" w:cs="Times New Roman"/>
                <w:sz w:val="24"/>
                <w:szCs w:val="24"/>
                <w:lang w:val="sr-RS"/>
              </w:rPr>
            </w:pPr>
            <w:r>
              <w:rPr>
                <w:rFonts w:cs="Times New Roman" w:ascii="Times New Roman" w:hAnsi="Times New Roman"/>
                <w:sz w:val="24"/>
                <w:szCs w:val="24"/>
                <w:lang w:val="sr-RS"/>
              </w:rPr>
              <w:t>2) флуороване гасове количине једнаке или веће од 3 kg а мање од 30 kg, са изузетком херметички затворених система у којима се они користе као расхладна средства, који су тако обележени и који садрже мање од 6 kg флуорованих гасова са ефектом стаклене баште</w:t>
            </w:r>
          </w:p>
        </w:tc>
        <w:tc>
          <w:tcPr>
            <w:tcW w:w="2548"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Times New Roman" w:ascii="MS Gothic" w:hAnsi="MS Gothic"/>
                    <w:sz w:val="24"/>
                    <w:szCs w:val="24"/>
                    <w:lang w:val="sr-RS"/>
                  </w:rPr>
                  <w:t>☐</w:t>
                </w:r>
              </w:sdtContent>
            </w:sdt>
            <w:r>
              <w:rPr>
                <w:rFonts w:cs="Times New Roman" w:ascii="Times New Roman" w:hAnsi="Times New Roman"/>
                <w:sz w:val="24"/>
                <w:szCs w:val="24"/>
                <w:lang w:val="sr-RS"/>
              </w:rPr>
              <w:t xml:space="preserve"> </w:t>
            </w:r>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Није примењиво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tc>
      </w:tr>
      <w:tr>
        <w:trPr>
          <w:trHeight w:val="774" w:hRule="atLeast"/>
          <w:cantSplit w:val="true"/>
        </w:trPr>
        <w:tc>
          <w:tcPr>
            <w:tcW w:w="53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А2</w:t>
            </w:r>
          </w:p>
        </w:tc>
        <w:tc>
          <w:tcPr>
            <w:tcW w:w="7960" w:type="dxa"/>
            <w:tcBorders>
              <w:top w:val="single" w:sz="6" w:space="0" w:color="000000"/>
              <w:left w:val="single" w:sz="6" w:space="0" w:color="000000"/>
              <w:right w:val="single" w:sz="6" w:space="0" w:color="000000"/>
            </w:tcBorders>
            <w:shd w:color="auto" w:fill="auto" w:val="clear"/>
            <w:vAlign w:val="center"/>
          </w:tcPr>
          <w:p>
            <w:pPr>
              <w:pStyle w:val="Normal"/>
              <w:spacing w:lineRule="auto" w:line="240" w:before="0" w:after="0"/>
              <w:ind w:left="144" w:right="144" w:hanging="0"/>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Да ли је овлашћено сервисно лице извршило контролу на испуштање: </w:t>
            </w:r>
          </w:p>
          <w:p>
            <w:pPr>
              <w:pStyle w:val="Normal"/>
              <w:spacing w:lineRule="auto" w:line="240" w:before="0" w:after="0"/>
              <w:ind w:left="144" w:right="144" w:hanging="0"/>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1) једном у 6 месеци за контролисане супстанце количине једнаке или веће од 30 kg а мање од 300 kg; односно </w:t>
            </w:r>
          </w:p>
          <w:p>
            <w:pPr>
              <w:pStyle w:val="Normal"/>
              <w:spacing w:lineRule="auto" w:line="240" w:before="0" w:after="0"/>
              <w:ind w:left="144" w:right="144" w:hanging="0"/>
              <w:jc w:val="both"/>
              <w:rPr>
                <w:rFonts w:ascii="Times New Roman" w:hAnsi="Times New Roman" w:cs="Times New Roman"/>
                <w:sz w:val="24"/>
                <w:szCs w:val="24"/>
                <w:vertAlign w:val="superscript"/>
                <w:lang w:val="sr-RS"/>
              </w:rPr>
            </w:pPr>
            <w:r>
              <w:rPr>
                <w:rFonts w:cs="Times New Roman" w:ascii="Times New Roman" w:hAnsi="Times New Roman"/>
                <w:sz w:val="24"/>
                <w:szCs w:val="24"/>
                <w:lang w:val="sr-RS"/>
              </w:rPr>
              <w:t>2) једном у 6 месеци за флуороване гасове</w:t>
            </w:r>
            <w:r>
              <w:rPr>
                <w:lang w:val="sr-RS"/>
              </w:rPr>
              <w:t xml:space="preserve"> </w:t>
            </w:r>
            <w:r>
              <w:rPr>
                <w:rFonts w:cs="Times New Roman" w:ascii="Times New Roman" w:hAnsi="Times New Roman"/>
                <w:sz w:val="24"/>
                <w:szCs w:val="24"/>
                <w:lang w:val="sr-RS"/>
              </w:rPr>
              <w:t>количине једнаке или веће од 30 kg а мање од 300 kg; односно једном у 12 месеци када је постављен фиксни индентификатор цурења са тачношћу од најмање пет грама на годишњем нивоу,</w:t>
            </w:r>
            <w:r>
              <w:rPr>
                <w:lang w:val="sr-RS"/>
              </w:rPr>
              <w:t xml:space="preserve"> </w:t>
            </w:r>
            <w:r>
              <w:rPr>
                <w:rFonts w:cs="Times New Roman" w:ascii="Times New Roman" w:hAnsi="Times New Roman"/>
                <w:sz w:val="24"/>
                <w:szCs w:val="24"/>
                <w:lang w:val="sr-RS"/>
              </w:rPr>
              <w:t>чија је тачност проверена најмање једном у 12 месеци</w:t>
            </w:r>
          </w:p>
        </w:tc>
        <w:tc>
          <w:tcPr>
            <w:tcW w:w="2548"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Times New Roman" w:ascii="MS Gothic" w:hAnsi="MS Gothic"/>
                    <w:sz w:val="24"/>
                    <w:szCs w:val="24"/>
                    <w:lang w:val="sr-RS"/>
                  </w:rPr>
                  <w:t>☐</w:t>
                </w:r>
              </w:sdtContent>
            </w:sdt>
            <w:r>
              <w:rPr>
                <w:rFonts w:cs="Times New Roman" w:ascii="Times New Roman" w:hAnsi="Times New Roman"/>
                <w:sz w:val="24"/>
                <w:szCs w:val="24"/>
                <w:lang w:val="sr-RS"/>
              </w:rPr>
              <w:t xml:space="preserve"> </w:t>
            </w:r>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Није применљиво</w:t>
            </w:r>
            <w:r>
              <w:rPr>
                <w:rFonts w:cs="Times New Roman"/>
                <w:szCs w:val="24"/>
                <w:lang w:val="sr-RS"/>
              </w:rPr>
              <w:t xml:space="preserve"> </w:t>
            </w:r>
            <w:sdt>
              <w:sdtPr>
                <w14:checkbox>
                  <w14:checked w:val=""/>
                  <w14:checkedState w:val=""/>
                  <w14:uncheckedState w:val=""/>
                </w14:checkbox>
              </w:sdtPr>
              <w:sdtContent>
                <w:r>
                  <w:rPr>
                    <w:rFonts w:eastAsia="MS Gothic" w:cs="Times New Roman" w:ascii="MS Gothic" w:hAnsi="MS Gothic"/>
                    <w:szCs w:val="24"/>
                    <w:lang w:val="sr-RS"/>
                  </w:rPr>
                  <w:t>☐</w:t>
                </w:r>
              </w:sdtContent>
            </w:sdt>
          </w:p>
        </w:tc>
      </w:tr>
      <w:tr>
        <w:trPr>
          <w:cantSplit w:val="true"/>
        </w:trPr>
        <w:tc>
          <w:tcPr>
            <w:tcW w:w="53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А3</w:t>
            </w:r>
          </w:p>
        </w:tc>
        <w:tc>
          <w:tcPr>
            <w:tcW w:w="7960" w:type="dxa"/>
            <w:tcBorders>
              <w:top w:val="single" w:sz="6" w:space="0" w:color="000000"/>
              <w:left w:val="single" w:sz="6" w:space="0" w:color="000000"/>
              <w:right w:val="single" w:sz="6" w:space="0" w:color="000000"/>
            </w:tcBorders>
            <w:shd w:color="auto" w:fill="auto" w:val="clear"/>
            <w:vAlign w:val="center"/>
          </w:tcPr>
          <w:p>
            <w:pPr>
              <w:pStyle w:val="Normal"/>
              <w:spacing w:lineRule="auto" w:line="240" w:before="0" w:after="0"/>
              <w:ind w:left="144" w:right="144" w:hanging="0"/>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Да ли је овлашћено сервисно лице извршило контролу на испуштање: </w:t>
            </w:r>
          </w:p>
          <w:p>
            <w:pPr>
              <w:pStyle w:val="Normal"/>
              <w:spacing w:lineRule="auto" w:line="240" w:before="0" w:after="0"/>
              <w:ind w:left="144" w:right="144" w:hanging="0"/>
              <w:jc w:val="both"/>
              <w:rPr>
                <w:rFonts w:ascii="Times New Roman" w:hAnsi="Times New Roman" w:cs="Times New Roman"/>
                <w:sz w:val="24"/>
                <w:szCs w:val="24"/>
                <w:lang w:val="sr-RS"/>
              </w:rPr>
            </w:pPr>
            <w:r>
              <w:rPr>
                <w:rFonts w:cs="Times New Roman" w:ascii="Times New Roman" w:hAnsi="Times New Roman"/>
                <w:sz w:val="24"/>
                <w:szCs w:val="24"/>
                <w:lang w:val="sr-RS"/>
              </w:rPr>
              <w:t>1) једном у три месеци за контролисане супстанце количине једнаке или веће од 300 kg; односно  једном у 6 месеци када је постављен фиксни индентификатор цурења са тачношћу од најмање пет грама на годишњем нивоу, чија је тачност проверена најмање једном у 12 месеци</w:t>
            </w:r>
          </w:p>
          <w:p>
            <w:pPr>
              <w:pStyle w:val="Normal"/>
              <w:spacing w:lineRule="auto" w:line="240" w:before="0" w:after="0"/>
              <w:ind w:left="144" w:right="144" w:hanging="0"/>
              <w:jc w:val="both"/>
              <w:rPr>
                <w:rFonts w:ascii="Times New Roman" w:hAnsi="Times New Roman" w:cs="Times New Roman"/>
                <w:sz w:val="24"/>
                <w:szCs w:val="24"/>
                <w:lang w:val="sr-RS"/>
              </w:rPr>
            </w:pPr>
            <w:r>
              <w:rPr>
                <w:rFonts w:cs="Times New Roman" w:ascii="Times New Roman" w:hAnsi="Times New Roman"/>
                <w:sz w:val="24"/>
                <w:szCs w:val="24"/>
                <w:lang w:val="sr-RS"/>
              </w:rPr>
              <w:t>2) једном у три месеци за флуороване гасове количине једнаке или веће од 300 kg; односно  једном у 6 месеци када је постављен фиксни индентификатор цурења са тачношћу од најмање пет грама на годишњем нивоу, чија је тачност проверена најмање једном у 12 месеци</w:t>
            </w:r>
          </w:p>
        </w:tc>
        <w:tc>
          <w:tcPr>
            <w:tcW w:w="2548"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Times New Roman" w:ascii="MS Gothic" w:hAnsi="MS Gothic"/>
                    <w:sz w:val="24"/>
                    <w:szCs w:val="24"/>
                    <w:lang w:val="sr-RS"/>
                  </w:rPr>
                  <w:t>☐</w:t>
                </w:r>
              </w:sdtContent>
            </w:sdt>
            <w:r>
              <w:rPr>
                <w:rFonts w:cs="Times New Roman" w:ascii="Times New Roman" w:hAnsi="Times New Roman"/>
                <w:sz w:val="24"/>
                <w:szCs w:val="24"/>
                <w:lang w:val="sr-RS"/>
              </w:rPr>
              <w:t xml:space="preserve"> </w:t>
            </w:r>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Није применљиво</w:t>
            </w:r>
            <w:r>
              <w:rPr>
                <w:rFonts w:cs="Times New Roman"/>
                <w:szCs w:val="24"/>
                <w:lang w:val="sr-RS"/>
              </w:rPr>
              <w:t xml:space="preserve"> </w:t>
            </w:r>
            <w:sdt>
              <w:sdtPr>
                <w14:checkbox>
                  <w14:checked w:val=""/>
                  <w14:checkedState w:val=""/>
                  <w14:uncheckedState w:val=""/>
                </w14:checkbox>
              </w:sdtPr>
              <w:sdtContent>
                <w:r>
                  <w:rPr>
                    <w:rFonts w:eastAsia="MS Gothic" w:cs="Times New Roman" w:ascii="MS Gothic" w:hAnsi="MS Gothic"/>
                    <w:szCs w:val="24"/>
                    <w:lang w:val="sr-RS"/>
                  </w:rPr>
                  <w:t>☐</w:t>
                </w:r>
              </w:sdtContent>
            </w:sdt>
          </w:p>
        </w:tc>
      </w:tr>
      <w:tr>
        <w:trPr>
          <w:trHeight w:val="312" w:hRule="atLeast"/>
          <w:cantSplit w:val="true"/>
        </w:trPr>
        <w:tc>
          <w:tcPr>
            <w:tcW w:w="11034" w:type="dxa"/>
            <w:gridSpan w:val="3"/>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bCs/>
                <w:sz w:val="24"/>
                <w:szCs w:val="24"/>
                <w:lang w:val="sr-RS"/>
              </w:rPr>
            </w:pPr>
            <w:r>
              <w:rPr>
                <w:rFonts w:cs="Times New Roman" w:ascii="Times New Roman" w:hAnsi="Times New Roman"/>
                <w:bCs/>
                <w:sz w:val="24"/>
                <w:szCs w:val="24"/>
                <w:lang w:val="sr-RS"/>
              </w:rPr>
              <w:t xml:space="preserve">Б) Испуштање супстанци које оштећују озонски омотач и флуорованих гасова са ефектом стаклене баште, </w:t>
            </w:r>
            <w:r>
              <w:rPr>
                <w:rFonts w:cs="Times New Roman" w:ascii="Times New Roman" w:hAnsi="Times New Roman"/>
                <w:b/>
                <w:bCs/>
                <w:sz w:val="24"/>
                <w:szCs w:val="24"/>
                <w:lang w:val="sr-RS"/>
              </w:rPr>
              <w:t>из стационарне расхладне и климатизационе опреме, топлотних пумпи и система за заштиту од пожара</w:t>
            </w:r>
          </w:p>
        </w:tc>
        <w:tc>
          <w:tcPr>
            <w:tcW w:w="9" w:type="dxa"/>
            <w:tcBorders>
              <w:top w:val="nil"/>
              <w:left w:val="nil"/>
              <w:bottom w:val="nil"/>
              <w:right w:val="nil"/>
            </w:tcBorders>
            <w:tcMar>
              <w:left w:w="108" w:type="dxa"/>
              <w:right w:w="108" w:type="dxa"/>
            </w:tcMar>
          </w:tcPr>
          <w:p>
            <w:pPr>
              <w:pStyle w:val="Normal"/>
              <w:widowControl/>
              <w:bidi w:val="0"/>
              <w:spacing w:lineRule="auto" w:line="259" w:before="0" w:after="160"/>
              <w:jc w:val="left"/>
              <w:rPr/>
            </w:pPr>
            <w:r>
              <w:rPr/>
            </w:r>
          </w:p>
        </w:tc>
      </w:tr>
      <w:tr>
        <w:trPr>
          <w:cantSplit w:val="true"/>
        </w:trPr>
        <w:tc>
          <w:tcPr>
            <w:tcW w:w="53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Б1</w:t>
            </w:r>
          </w:p>
        </w:tc>
        <w:tc>
          <w:tcPr>
            <w:tcW w:w="7960" w:type="dxa"/>
            <w:tcBorders>
              <w:top w:val="single" w:sz="6" w:space="0" w:color="000000"/>
              <w:left w:val="single" w:sz="6" w:space="0" w:color="000000"/>
              <w:right w:val="single" w:sz="6" w:space="0" w:color="000000"/>
            </w:tcBorders>
            <w:shd w:color="auto" w:fill="auto" w:val="clear"/>
            <w:vAlign w:val="center"/>
          </w:tcPr>
          <w:p>
            <w:pPr>
              <w:pStyle w:val="Normal"/>
              <w:spacing w:lineRule="auto" w:line="240" w:before="0" w:after="0"/>
              <w:ind w:left="144" w:right="144" w:hanging="0"/>
              <w:rPr>
                <w:rFonts w:ascii="Times New Roman" w:hAnsi="Times New Roman" w:cs="Times New Roman"/>
                <w:bCs/>
                <w:sz w:val="24"/>
                <w:szCs w:val="24"/>
                <w:lang w:val="sr-RS"/>
              </w:rPr>
            </w:pPr>
            <w:r>
              <w:rPr>
                <w:rFonts w:cs="Times New Roman" w:ascii="Times New Roman" w:hAnsi="Times New Roman"/>
                <w:bCs/>
                <w:sz w:val="24"/>
                <w:szCs w:val="24"/>
                <w:lang w:val="sr-RS"/>
              </w:rPr>
              <w:t>Да ли постоји недозвољено испуштање контролисане супстанце или флуорованих гасова према извештају овлашћеног лица</w:t>
            </w:r>
          </w:p>
        </w:tc>
        <w:tc>
          <w:tcPr>
            <w:tcW w:w="2548"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Times New Roman" w:ascii="MS Gothic" w:hAnsi="MS Gothic"/>
                    <w:sz w:val="24"/>
                    <w:szCs w:val="24"/>
                    <w:lang w:val="sr-RS"/>
                  </w:rPr>
                  <w:t>☐</w:t>
                </w:r>
              </w:sdtContent>
            </w:sdt>
            <w:r>
              <w:rPr>
                <w:rFonts w:cs="Times New Roman" w:ascii="Times New Roman" w:hAnsi="Times New Roman"/>
                <w:sz w:val="24"/>
                <w:szCs w:val="24"/>
                <w:lang w:val="sr-RS"/>
              </w:rPr>
              <w:t xml:space="preserve"> </w:t>
            </w:r>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bCs/>
                <w:sz w:val="24"/>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tc>
      </w:tr>
      <w:tr>
        <w:trPr>
          <w:cantSplit w:val="true"/>
        </w:trPr>
        <w:tc>
          <w:tcPr>
            <w:tcW w:w="53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Б2</w:t>
            </w:r>
          </w:p>
        </w:tc>
        <w:tc>
          <w:tcPr>
            <w:tcW w:w="7960" w:type="dxa"/>
            <w:tcBorders>
              <w:top w:val="single" w:sz="6" w:space="0" w:color="000000"/>
              <w:left w:val="single" w:sz="6" w:space="0" w:color="000000"/>
              <w:right w:val="single" w:sz="6" w:space="0" w:color="000000"/>
            </w:tcBorders>
            <w:shd w:color="auto" w:fill="auto" w:val="clear"/>
            <w:vAlign w:val="center"/>
          </w:tcPr>
          <w:p>
            <w:pPr>
              <w:pStyle w:val="Normal"/>
              <w:spacing w:lineRule="auto" w:line="240" w:before="0" w:after="0"/>
              <w:ind w:left="144" w:right="144" w:hanging="0"/>
              <w:rPr>
                <w:rFonts w:ascii="Times New Roman" w:hAnsi="Times New Roman" w:eastAsia="TimesNewRoman" w:cs="Times New Roman"/>
                <w:sz w:val="24"/>
                <w:szCs w:val="24"/>
                <w:lang w:val="sr-RS"/>
              </w:rPr>
            </w:pPr>
            <w:r>
              <w:rPr>
                <w:rFonts w:eastAsia="TimesNewRoman" w:cs="Times New Roman" w:ascii="Times New Roman" w:hAnsi="Times New Roman"/>
                <w:sz w:val="24"/>
                <w:szCs w:val="24"/>
                <w:lang w:val="sr-RS"/>
              </w:rPr>
              <w:t>Да ли је овлашћени сервисер извршио поправку опреме да не буде даљег испуштања у року највише 14 календарских дана од дана када је уочено да постоји испуштање.</w:t>
            </w:r>
          </w:p>
        </w:tc>
        <w:tc>
          <w:tcPr>
            <w:tcW w:w="2548"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Times New Roman" w:ascii="MS Gothic" w:hAnsi="MS Gothic"/>
                    <w:sz w:val="24"/>
                    <w:szCs w:val="24"/>
                    <w:lang w:val="sr-RS"/>
                  </w:rPr>
                  <w:t>☐</w:t>
                </w:r>
              </w:sdtContent>
            </w:sdt>
            <w:r>
              <w:rPr>
                <w:rFonts w:cs="Times New Roman" w:ascii="Times New Roman" w:hAnsi="Times New Roman"/>
                <w:sz w:val="24"/>
                <w:szCs w:val="24"/>
                <w:lang w:val="sr-RS"/>
              </w:rPr>
              <w:t xml:space="preserve"> </w:t>
            </w:r>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bCs/>
                <w:sz w:val="24"/>
                <w:szCs w:val="24"/>
                <w:lang w:val="sr-RS"/>
              </w:rPr>
              <w:t xml:space="preserve">Није применљиво </w:t>
            </w:r>
            <w:r>
              <w:rPr>
                <w:rFonts w:cs="Segoe UI Symbol" w:ascii="Segoe UI Symbol" w:hAnsi="Segoe UI Symbol"/>
                <w:bCs/>
                <w:sz w:val="24"/>
                <w:szCs w:val="24"/>
                <w:lang w:val="sr-RS"/>
              </w:rPr>
              <w:t>☐</w:t>
            </w:r>
          </w:p>
        </w:tc>
      </w:tr>
      <w:tr>
        <w:trPr>
          <w:cantSplit w:val="true"/>
        </w:trPr>
        <w:tc>
          <w:tcPr>
            <w:tcW w:w="53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highlight w:val="yellow"/>
                <w:lang w:val="sr-RS"/>
              </w:rPr>
            </w:pPr>
            <w:r>
              <w:rPr>
                <w:rFonts w:cs="Times New Roman" w:ascii="Times New Roman" w:hAnsi="Times New Roman"/>
                <w:sz w:val="24"/>
                <w:szCs w:val="24"/>
                <w:lang w:val="sr-RS"/>
              </w:rPr>
              <w:t>Б3</w:t>
            </w:r>
          </w:p>
        </w:tc>
        <w:tc>
          <w:tcPr>
            <w:tcW w:w="796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ind w:left="144" w:right="144" w:hanging="0"/>
              <w:rPr>
                <w:rFonts w:ascii="Times New Roman" w:hAnsi="Times New Roman" w:cs="Times New Roman"/>
                <w:bCs/>
                <w:sz w:val="24"/>
                <w:szCs w:val="24"/>
                <w:lang w:val="sr-RS"/>
              </w:rPr>
            </w:pPr>
            <w:r>
              <w:rPr>
                <w:rFonts w:cs="Times New Roman" w:ascii="Times New Roman" w:hAnsi="Times New Roman"/>
                <w:bCs/>
                <w:sz w:val="24"/>
                <w:szCs w:val="24"/>
                <w:lang w:val="sr-RS"/>
              </w:rPr>
              <w:t xml:space="preserve">Да ли је овлашћени сервисер извршио накнадну проверу испуштања у року од 30 дана од поправке и наставка рада опреме </w:t>
            </w:r>
          </w:p>
        </w:tc>
        <w:tc>
          <w:tcPr>
            <w:tcW w:w="2548"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Times New Roman" w:ascii="MS Gothic" w:hAnsi="MS Gothic"/>
                    <w:sz w:val="24"/>
                    <w:szCs w:val="24"/>
                    <w:lang w:val="sr-RS"/>
                  </w:rPr>
                  <w:t>☐</w:t>
                </w:r>
              </w:sdtContent>
            </w:sdt>
            <w:r>
              <w:rPr>
                <w:rFonts w:cs="Times New Roman" w:ascii="Times New Roman" w:hAnsi="Times New Roman"/>
                <w:sz w:val="24"/>
                <w:szCs w:val="24"/>
                <w:lang w:val="sr-RS"/>
              </w:rPr>
              <w:t xml:space="preserve"> </w:t>
            </w:r>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bCs/>
                <w:sz w:val="24"/>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tc>
      </w:tr>
      <w:tr>
        <w:trPr>
          <w:cantSplit w:val="true"/>
        </w:trPr>
        <w:tc>
          <w:tcPr>
            <w:tcW w:w="11043" w:type="dxa"/>
            <w:gridSpan w:val="4"/>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ind w:left="144" w:right="144" w:hanging="0"/>
              <w:rPr>
                <w:rFonts w:ascii="Times New Roman" w:hAnsi="Times New Roman" w:cs="Times New Roman"/>
                <w:sz w:val="24"/>
                <w:szCs w:val="24"/>
                <w:lang w:val="sr-RS"/>
              </w:rPr>
            </w:pPr>
            <w:r>
              <w:rPr>
                <w:rFonts w:cs="Times New Roman" w:ascii="Times New Roman" w:hAnsi="Times New Roman"/>
                <w:bCs/>
                <w:sz w:val="24"/>
                <w:szCs w:val="24"/>
                <w:lang w:val="sr-RS"/>
              </w:rPr>
              <w:t xml:space="preserve">В) Поступање са супстанцама које оштећују озонски омотач и са флуорованиим гасовима са ефектом стаклене баште, </w:t>
            </w:r>
            <w:r>
              <w:rPr>
                <w:rFonts w:cs="Times New Roman" w:ascii="Times New Roman" w:hAnsi="Times New Roman"/>
                <w:b/>
                <w:bCs/>
                <w:sz w:val="24"/>
                <w:szCs w:val="24"/>
                <w:lang w:val="sr-RS"/>
              </w:rPr>
              <w:t>из расхладне и климатизационе опреме, топлотних пумпи, опреме која садржи раствараче, система за заштиту од пожара, апарата за гашење пожара и опреме за високонапонско прекидање.</w:t>
            </w:r>
          </w:p>
        </w:tc>
      </w:tr>
      <w:tr>
        <w:trPr>
          <w:cantSplit w:val="true"/>
        </w:trPr>
        <w:tc>
          <w:tcPr>
            <w:tcW w:w="53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В1</w:t>
            </w:r>
          </w:p>
        </w:tc>
        <w:tc>
          <w:tcPr>
            <w:tcW w:w="796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ind w:left="144" w:right="144" w:hanging="0"/>
              <w:rPr>
                <w:rFonts w:ascii="Times New Roman" w:hAnsi="Times New Roman" w:cs="Times New Roman"/>
                <w:bCs/>
                <w:sz w:val="24"/>
                <w:szCs w:val="24"/>
                <w:lang w:val="sr-RS"/>
              </w:rPr>
            </w:pPr>
            <w:r>
              <w:rPr>
                <w:rFonts w:cs="Times New Roman" w:ascii="Times New Roman" w:hAnsi="Times New Roman"/>
                <w:bCs/>
                <w:sz w:val="24"/>
                <w:szCs w:val="24"/>
                <w:lang w:val="sr-RS"/>
              </w:rPr>
              <w:t>Да ли је за контролисане супстанце</w:t>
            </w:r>
            <w:r>
              <w:rPr>
                <w:rFonts w:cs="Times New Roman" w:ascii="Times New Roman" w:hAnsi="Times New Roman"/>
                <w:sz w:val="24"/>
                <w:szCs w:val="24"/>
                <w:lang w:val="sr-RS"/>
              </w:rPr>
              <w:t xml:space="preserve"> и </w:t>
            </w:r>
            <w:r>
              <w:rPr>
                <w:rFonts w:cs="Times New Roman" w:ascii="Times New Roman" w:hAnsi="Times New Roman"/>
                <w:bCs/>
                <w:sz w:val="24"/>
                <w:szCs w:val="24"/>
                <w:lang w:val="sr-RS"/>
              </w:rPr>
              <w:t xml:space="preserve">флуороване гасове обезбеђено њихово сакупљање приликом одржавања и сервисирања опреме или на крају радног века опреме, односно њихово обнављање, обрада и коришћење на самој локацији или одлагање у центру који има дозволу министарства </w:t>
            </w:r>
          </w:p>
        </w:tc>
        <w:tc>
          <w:tcPr>
            <w:tcW w:w="2548"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cs="Segoe UI Symbol" w:ascii="Segoe UI Symbol" w:hAnsi="Segoe UI Symbol"/>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cs="Segoe UI Symbol" w:ascii="Segoe UI Symbol" w:hAnsi="Segoe UI Symbol"/>
                    <w:sz w:val="24"/>
                    <w:szCs w:val="24"/>
                    <w:lang w:val="sr-RS"/>
                  </w:rPr>
                  <w:t>☐</w:t>
                </w:r>
              </w:sdtContent>
            </w:sdt>
            <w:r>
              <w:rPr>
                <w:rFonts w:cs="Times New Roman" w:ascii="Times New Roman" w:hAnsi="Times New Roman"/>
                <w:sz w:val="24"/>
                <w:szCs w:val="24"/>
                <w:lang w:val="sr-RS"/>
              </w:rPr>
              <w:t xml:space="preserve"> </w:t>
            </w:r>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Није применљиво </w:t>
            </w:r>
            <w:sdt>
              <w:sdtPr>
                <w14:checkbox>
                  <w14:checked w:val=""/>
                  <w14:checkedState w:val=""/>
                  <w14:uncheckedState w:val=""/>
                </w14:checkbox>
              </w:sdtPr>
              <w:sdtContent>
                <w:r>
                  <w:rPr>
                    <w:rFonts w:cs="Times New Roman" w:ascii="Times New Roman" w:hAnsi="Times New Roman"/>
                    <w:sz w:val="24"/>
                    <w:szCs w:val="24"/>
                    <w:lang w:val="sr-RS"/>
                  </w:rPr>
                  <w:t>☐</w:t>
                </w:r>
              </w:sdtContent>
            </w:sdt>
          </w:p>
        </w:tc>
      </w:tr>
      <w:tr>
        <w:trPr>
          <w:cantSplit w:val="true"/>
        </w:trPr>
        <w:tc>
          <w:tcPr>
            <w:tcW w:w="53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В2</w:t>
            </w:r>
          </w:p>
        </w:tc>
        <w:tc>
          <w:tcPr>
            <w:tcW w:w="7960"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ind w:left="144" w:right="144" w:hanging="0"/>
              <w:rPr>
                <w:rFonts w:ascii="Times New Roman" w:hAnsi="Times New Roman" w:cs="Times New Roman"/>
                <w:bCs/>
                <w:sz w:val="24"/>
                <w:szCs w:val="24"/>
                <w:lang w:val="sr-RS"/>
              </w:rPr>
            </w:pPr>
            <w:r>
              <w:rPr>
                <w:rFonts w:cs="Times New Roman" w:ascii="Times New Roman" w:hAnsi="Times New Roman"/>
                <w:bCs/>
                <w:sz w:val="24"/>
                <w:szCs w:val="24"/>
                <w:lang w:val="sr-RS"/>
              </w:rPr>
              <w:t xml:space="preserve">Да ли су до 31. децембра 2020. године из система за заштиту од пожара и уређаја за гашење пожара повучени из употребе халони који нису наведени у Прилогу 7. Уредбе о поступању са супстанцама које оштећују озонски омотач </w:t>
            </w:r>
          </w:p>
        </w:tc>
        <w:tc>
          <w:tcPr>
            <w:tcW w:w="2548"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cs="Segoe UI Symbol" w:ascii="Segoe UI Symbol" w:hAnsi="Segoe UI Symbol"/>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cs="Segoe UI Symbol" w:ascii="Segoe UI Symbol" w:hAnsi="Segoe UI Symbol"/>
                    <w:sz w:val="24"/>
                    <w:szCs w:val="24"/>
                    <w:lang w:val="sr-RS"/>
                  </w:rPr>
                  <w:t>☐</w:t>
                </w:r>
              </w:sdtContent>
            </w:sdt>
            <w:r>
              <w:rPr>
                <w:rFonts w:cs="Times New Roman" w:ascii="Times New Roman" w:hAnsi="Times New Roman"/>
                <w:sz w:val="24"/>
                <w:szCs w:val="24"/>
                <w:lang w:val="sr-RS"/>
              </w:rPr>
              <w:t xml:space="preserve"> </w:t>
            </w:r>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Није применљиво </w:t>
            </w:r>
            <w:sdt>
              <w:sdtPr>
                <w14:checkbox>
                  <w14:checked w:val=""/>
                  <w14:checkedState w:val=""/>
                  <w14:uncheckedState w:val=""/>
                </w14:checkbox>
              </w:sdtPr>
              <w:sdtContent>
                <w:r>
                  <w:rPr>
                    <w:rFonts w:cs="Times New Roman" w:ascii="Times New Roman" w:hAnsi="Times New Roman"/>
                    <w:sz w:val="24"/>
                    <w:szCs w:val="24"/>
                    <w:lang w:val="sr-RS"/>
                  </w:rPr>
                  <w:t>☐</w:t>
                </w:r>
              </w:sdtContent>
            </w:sdt>
          </w:p>
        </w:tc>
      </w:tr>
      <w:tr>
        <w:trPr>
          <w:trHeight w:val="312" w:hRule="atLeast"/>
          <w:cantSplit w:val="true"/>
        </w:trPr>
        <w:tc>
          <w:tcPr>
            <w:tcW w:w="11034" w:type="dxa"/>
            <w:gridSpan w:val="3"/>
            <w:tcBorders/>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Г) Достава података државним органима</w:t>
            </w:r>
            <w:r>
              <w:rPr/>
              <w:t xml:space="preserve"> </w:t>
            </w:r>
            <w:r>
              <w:rPr>
                <w:rFonts w:cs="Times New Roman" w:ascii="Times New Roman" w:hAnsi="Times New Roman"/>
                <w:sz w:val="24"/>
                <w:szCs w:val="24"/>
                <w:lang w:val="sr-RS"/>
              </w:rPr>
              <w:t>за</w:t>
            </w:r>
            <w:r>
              <w:rPr>
                <w:lang w:val="sr-RS"/>
              </w:rPr>
              <w:t xml:space="preserve"> </w:t>
            </w:r>
            <w:r>
              <w:rPr>
                <w:rFonts w:cs="Times New Roman" w:ascii="Times New Roman" w:hAnsi="Times New Roman"/>
                <w:sz w:val="24"/>
                <w:szCs w:val="24"/>
                <w:lang w:val="sr-RS"/>
              </w:rPr>
              <w:t>контролисане супстанце које оштећују озонски омотач и флуороване гасове са ефектом стаклене баште</w:t>
            </w:r>
          </w:p>
        </w:tc>
        <w:tc>
          <w:tcPr>
            <w:tcW w:w="9" w:type="dxa"/>
            <w:tcBorders>
              <w:top w:val="nil"/>
              <w:left w:val="nil"/>
              <w:bottom w:val="nil"/>
              <w:right w:val="nil"/>
            </w:tcBorders>
            <w:tcMar>
              <w:left w:w="108" w:type="dxa"/>
              <w:right w:w="108" w:type="dxa"/>
            </w:tcMar>
          </w:tcPr>
          <w:p>
            <w:pPr>
              <w:pStyle w:val="Normal"/>
              <w:widowControl/>
              <w:bidi w:val="0"/>
              <w:spacing w:lineRule="auto" w:line="259" w:before="0" w:after="160"/>
              <w:jc w:val="left"/>
              <w:rPr/>
            </w:pPr>
            <w:r>
              <w:rPr/>
            </w:r>
          </w:p>
        </w:tc>
      </w:tr>
      <w:tr>
        <w:trPr>
          <w:cantSplit w:val="true"/>
        </w:trPr>
        <w:tc>
          <w:tcPr>
            <w:tcW w:w="53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rFonts w:ascii="Times New Roman" w:hAnsi="Times New Roman" w:cs="Times New Roman"/>
                <w:sz w:val="24"/>
                <w:szCs w:val="24"/>
                <w:lang w:val="sr-RS"/>
              </w:rPr>
            </w:pPr>
            <w:r>
              <w:rPr>
                <w:rFonts w:cs="Times New Roman" w:ascii="Times New Roman" w:hAnsi="Times New Roman"/>
                <w:sz w:val="24"/>
                <w:szCs w:val="24"/>
                <w:lang w:val="sr-RS"/>
              </w:rPr>
              <w:t>Г1</w:t>
            </w:r>
          </w:p>
        </w:tc>
        <w:tc>
          <w:tcPr>
            <w:tcW w:w="7960" w:type="dxa"/>
            <w:tcBorders>
              <w:top w:val="single" w:sz="6" w:space="0" w:color="000000"/>
              <w:left w:val="single" w:sz="6" w:space="0" w:color="000000"/>
              <w:right w:val="single" w:sz="6" w:space="0" w:color="000000"/>
            </w:tcBorders>
            <w:shd w:color="auto" w:fill="auto" w:val="clear"/>
            <w:vAlign w:val="center"/>
          </w:tcPr>
          <w:p>
            <w:pPr>
              <w:pStyle w:val="Normal"/>
              <w:spacing w:lineRule="auto" w:line="240" w:before="0" w:after="0"/>
              <w:ind w:left="144" w:right="144" w:hanging="0"/>
              <w:rPr>
                <w:rFonts w:ascii="Times New Roman" w:hAnsi="Times New Roman" w:cs="Times New Roman"/>
                <w:bCs/>
                <w:sz w:val="24"/>
                <w:szCs w:val="24"/>
                <w:lang w:val="sr-Latn-RS"/>
              </w:rPr>
            </w:pPr>
            <w:r>
              <w:rPr>
                <w:rFonts w:cs="Times New Roman" w:ascii="Times New Roman" w:hAnsi="Times New Roman"/>
                <w:bCs/>
                <w:sz w:val="24"/>
                <w:szCs w:val="24"/>
                <w:lang w:val="sr-RS"/>
              </w:rPr>
              <w:t>Да ли је оператер опреме која садржи три или више килограма контролисане супстанце или флуорованих гасова доставио министарству прописани годишњи извештај до краја фебруара месеца текуће године за претходну годину, на Обрасцу 14. за контролисане супстанце, односно Обрасцу 10. за флуороване гасове, односно Обрасцу 12. за халоне</w:t>
            </w:r>
          </w:p>
        </w:tc>
        <w:tc>
          <w:tcPr>
            <w:tcW w:w="2548"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ДА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 xml:space="preserve">НЕ  </w:t>
            </w:r>
            <w:sdt>
              <w:sdtPr>
                <w14:checkbox>
                  <w14:checked w:val=""/>
                  <w14:checkedState w:val=""/>
                  <w14:uncheckedState w:val=""/>
                </w14:checkbox>
              </w:sdtPr>
              <w:sdtContent>
                <w:r>
                  <w:rPr>
                    <w:rFonts w:eastAsia="MS Gothic" w:cs="Times New Roman" w:ascii="MS Gothic" w:hAnsi="MS Gothic"/>
                    <w:sz w:val="24"/>
                    <w:szCs w:val="24"/>
                    <w:lang w:val="sr-RS"/>
                  </w:rPr>
                  <w:t>☐</w:t>
                </w:r>
              </w:sdtContent>
            </w:sdt>
            <w:r>
              <w:rPr>
                <w:rFonts w:cs="Times New Roman" w:ascii="Times New Roman" w:hAnsi="Times New Roman"/>
                <w:sz w:val="24"/>
                <w:szCs w:val="24"/>
                <w:lang w:val="sr-RS"/>
              </w:rPr>
              <w:t xml:space="preserve"> </w:t>
            </w:r>
          </w:p>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t>Није применљиво</w:t>
            </w:r>
            <w:r>
              <w:rPr>
                <w:rFonts w:cs="Times New Roman" w:ascii="Times New Roman" w:hAnsi="Times New Roman"/>
                <w:sz w:val="24"/>
                <w:szCs w:val="24"/>
                <w:lang w:val="ru-RU"/>
              </w:rPr>
              <w:t xml:space="preserve"> </w:t>
            </w:r>
            <w:sdt>
              <w:sdtPr>
                <w14:checkbox>
                  <w14:checked w:val=""/>
                  <w14:checkedState w:val=""/>
                  <w14:uncheckedState w:val=""/>
                </w14:checkbox>
              </w:sdtPr>
              <w:sdtContent>
                <w:r>
                  <w:rPr>
                    <w:rFonts w:eastAsia="MS Gothic" w:cs="Times New Roman" w:ascii="MS Gothic" w:hAnsi="MS Gothic"/>
                    <w:sz w:val="24"/>
                    <w:szCs w:val="24"/>
                    <w:lang w:val="sr-RS"/>
                  </w:rPr>
                  <w:t>☐</w:t>
                </w:r>
              </w:sdtContent>
            </w:sdt>
          </w:p>
        </w:tc>
      </w:tr>
    </w:tbl>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sz w:val="24"/>
          <w:szCs w:val="24"/>
          <w:lang w:val="sr-RS"/>
        </w:rPr>
      </w:r>
    </w:p>
    <w:tbl>
      <w:tblPr>
        <w:tblStyle w:val="TableGrid"/>
        <w:tblW w:w="11093" w:type="dxa"/>
        <w:jc w:val="left"/>
        <w:tblInd w:w="-905" w:type="dxa"/>
        <w:tblCellMar>
          <w:top w:w="0" w:type="dxa"/>
          <w:left w:w="108" w:type="dxa"/>
          <w:bottom w:w="0" w:type="dxa"/>
          <w:right w:w="108" w:type="dxa"/>
        </w:tblCellMar>
        <w:tblLook w:firstRow="1" w:noVBand="1" w:lastRow="0" w:firstColumn="1" w:lastColumn="0" w:noHBand="0" w:val="04a0"/>
      </w:tblPr>
      <w:tblGrid>
        <w:gridCol w:w="3697"/>
        <w:gridCol w:w="3696"/>
        <w:gridCol w:w="2"/>
        <w:gridCol w:w="3698"/>
      </w:tblGrid>
      <w:tr>
        <w:trPr/>
        <w:tc>
          <w:tcPr>
            <w:tcW w:w="7393" w:type="dxa"/>
            <w:gridSpan w:val="2"/>
            <w:tcBorders/>
            <w:shd w:color="auto" w:fill="auto" w:val="clear"/>
            <w:vAlign w:val="center"/>
          </w:tcPr>
          <w:p>
            <w:pPr>
              <w:pStyle w:val="Normal"/>
              <w:overflowPunct w:val="false"/>
              <w:spacing w:lineRule="auto" w:line="240" w:before="0" w:after="0"/>
              <w:jc w:val="center"/>
              <w:rPr>
                <w:rFonts w:ascii="Times New Roman" w:hAnsi="Times New Roman" w:cs="Times New Roman"/>
                <w:bCs/>
                <w:color w:val="000000"/>
                <w:sz w:val="24"/>
                <w:szCs w:val="24"/>
                <w:lang w:val="sr-RS" w:eastAsia="de-DE"/>
              </w:rPr>
            </w:pPr>
            <w:r>
              <w:rPr>
                <w:rFonts w:cs="Times New Roman" w:ascii="Times New Roman" w:hAnsi="Times New Roman"/>
                <w:bCs/>
                <w:sz w:val="24"/>
                <w:szCs w:val="24"/>
                <w:lang w:val="sr-RS"/>
              </w:rPr>
              <w:t>П</w:t>
            </w:r>
            <w:r>
              <w:rPr>
                <w:rFonts w:cs="Times New Roman" w:ascii="Times New Roman" w:hAnsi="Times New Roman"/>
                <w:sz w:val="24"/>
                <w:szCs w:val="24"/>
                <w:lang w:val="sr-RS"/>
              </w:rPr>
              <w:t>редставници</w:t>
            </w:r>
            <w:r>
              <w:rPr>
                <w:rFonts w:cs="Times New Roman" w:ascii="Times New Roman" w:hAnsi="Times New Roman"/>
                <w:bCs/>
                <w:sz w:val="24"/>
                <w:szCs w:val="24"/>
                <w:lang w:val="sr-RS"/>
              </w:rPr>
              <w:t xml:space="preserve"> оператера</w:t>
            </w:r>
          </w:p>
        </w:tc>
        <w:tc>
          <w:tcPr>
            <w:tcW w:w="3700" w:type="dxa"/>
            <w:gridSpan w:val="2"/>
            <w:tcBorders/>
            <w:shd w:color="auto" w:fill="auto" w:val="clear"/>
            <w:vAlign w:val="center"/>
          </w:tcPr>
          <w:p>
            <w:pPr>
              <w:pStyle w:val="Normal"/>
              <w:overflowPunct w:val="false"/>
              <w:spacing w:lineRule="auto" w:line="240" w:before="0" w:after="0"/>
              <w:rPr>
                <w:rFonts w:ascii="Times New Roman" w:hAnsi="Times New Roman" w:cs="Times New Roman"/>
                <w:bCs/>
                <w:color w:val="000000"/>
                <w:sz w:val="24"/>
                <w:szCs w:val="24"/>
                <w:lang w:val="ru-RU" w:eastAsia="de-DE"/>
              </w:rPr>
            </w:pPr>
            <w:r>
              <w:rPr>
                <w:rFonts w:cs="Times New Roman" w:ascii="Times New Roman" w:hAnsi="Times New Roman"/>
                <w:bCs/>
                <w:color w:val="000000"/>
                <w:sz w:val="24"/>
                <w:szCs w:val="24"/>
                <w:lang w:val="sr-RS" w:eastAsia="de-DE"/>
              </w:rPr>
              <w:t>Инспектори за заштиту животне средине</w:t>
            </w:r>
          </w:p>
        </w:tc>
      </w:tr>
      <w:tr>
        <w:trPr/>
        <w:tc>
          <w:tcPr>
            <w:tcW w:w="3697" w:type="dxa"/>
            <w:tcBorders/>
          </w:tcPr>
          <w:p>
            <w:pPr>
              <w:pStyle w:val="Normal"/>
              <w:overflowPunct w:val="false"/>
              <w:spacing w:lineRule="auto" w:line="240" w:before="0" w:after="0"/>
              <w:jc w:val="center"/>
              <w:rPr>
                <w:rFonts w:ascii="Times New Roman" w:hAnsi="Times New Roman" w:cs="Times New Roman"/>
                <w:bCs/>
                <w:color w:val="000000"/>
                <w:sz w:val="24"/>
                <w:szCs w:val="24"/>
                <w:lang w:val="sr-RS" w:eastAsia="de-DE"/>
              </w:rPr>
            </w:pPr>
            <w:r>
              <w:rPr>
                <w:rFonts w:cs="Times New Roman" w:ascii="Times New Roman" w:hAnsi="Times New Roman"/>
                <w:bCs/>
                <w:color w:val="000000"/>
                <w:sz w:val="24"/>
                <w:szCs w:val="24"/>
                <w:lang w:val="sr-RS" w:eastAsia="de-DE"/>
              </w:rPr>
              <w:t>Име и презиме</w:t>
            </w:r>
          </w:p>
        </w:tc>
        <w:tc>
          <w:tcPr>
            <w:tcW w:w="3698" w:type="dxa"/>
            <w:gridSpan w:val="2"/>
            <w:tcBorders/>
          </w:tcPr>
          <w:p>
            <w:pPr>
              <w:pStyle w:val="Normal"/>
              <w:overflowPunct w:val="false"/>
              <w:spacing w:lineRule="auto" w:line="240" w:before="0" w:after="0"/>
              <w:jc w:val="center"/>
              <w:rPr>
                <w:rFonts w:ascii="Times New Roman" w:hAnsi="Times New Roman" w:cs="Times New Roman"/>
                <w:bCs/>
                <w:color w:val="000000"/>
                <w:sz w:val="24"/>
                <w:szCs w:val="24"/>
                <w:lang w:eastAsia="de-DE"/>
              </w:rPr>
            </w:pPr>
            <w:r>
              <w:rPr>
                <w:rFonts w:cs="Times New Roman" w:ascii="Times New Roman" w:hAnsi="Times New Roman"/>
                <w:bCs/>
                <w:color w:val="000000"/>
                <w:sz w:val="24"/>
                <w:szCs w:val="24"/>
                <w:lang w:val="sr-RS" w:eastAsia="de-DE"/>
              </w:rPr>
              <w:t>Радно место</w:t>
            </w:r>
          </w:p>
        </w:tc>
        <w:tc>
          <w:tcPr>
            <w:tcW w:w="3698" w:type="dxa"/>
            <w:tcBorders/>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bCs/>
                <w:color w:val="000000"/>
                <w:sz w:val="24"/>
                <w:szCs w:val="24"/>
                <w:lang w:val="sr-RS" w:eastAsia="de-DE"/>
              </w:rPr>
              <w:t>Име и презиме</w:t>
            </w:r>
          </w:p>
        </w:tc>
      </w:tr>
      <w:tr>
        <w:trPr/>
        <w:tc>
          <w:tcPr>
            <w:tcW w:w="3697" w:type="dxa"/>
            <w:tcBorders/>
          </w:tcPr>
          <w:p>
            <w:pPr>
              <w:pStyle w:val="Normal"/>
              <w:overflowPunct w:val="false"/>
              <w:spacing w:lineRule="auto" w:line="240" w:before="0" w:after="0"/>
              <w:jc w:val="both"/>
              <w:rPr>
                <w:rFonts w:ascii="Times New Roman" w:hAnsi="Times New Roman" w:cs="Times New Roman"/>
                <w:bCs/>
                <w:color w:val="000000"/>
                <w:sz w:val="24"/>
                <w:szCs w:val="24"/>
                <w:lang w:val="sr-RS" w:eastAsia="de-DE"/>
              </w:rPr>
            </w:pPr>
            <w:r>
              <w:rPr>
                <w:rFonts w:cs="Times New Roman" w:ascii="Times New Roman" w:hAnsi="Times New Roman"/>
                <w:bCs/>
                <w:color w:val="000000"/>
                <w:sz w:val="24"/>
                <w:szCs w:val="24"/>
                <w:lang w:val="sr-RS" w:eastAsia="de-DE"/>
              </w:rPr>
              <w:t>1.</w:t>
            </w:r>
          </w:p>
        </w:tc>
        <w:tc>
          <w:tcPr>
            <w:tcW w:w="3698" w:type="dxa"/>
            <w:gridSpan w:val="2"/>
            <w:tcBorders/>
          </w:tcPr>
          <w:p>
            <w:pPr>
              <w:pStyle w:val="Normal"/>
              <w:overflowPunct w:val="false"/>
              <w:spacing w:lineRule="auto" w:line="240" w:before="0" w:after="0"/>
              <w:jc w:val="both"/>
              <w:rPr>
                <w:rFonts w:ascii="Times New Roman" w:hAnsi="Times New Roman" w:cs="Times New Roman"/>
                <w:bCs/>
                <w:color w:val="000000"/>
                <w:sz w:val="24"/>
                <w:szCs w:val="24"/>
                <w:lang w:val="sr-RS" w:eastAsia="de-DE"/>
              </w:rPr>
            </w:pPr>
            <w:r>
              <w:rPr>
                <w:rFonts w:cs="Times New Roman" w:ascii="Times New Roman" w:hAnsi="Times New Roman"/>
                <w:bCs/>
                <w:color w:val="000000"/>
                <w:sz w:val="24"/>
                <w:szCs w:val="24"/>
                <w:lang w:val="sr-RS" w:eastAsia="de-DE"/>
              </w:rPr>
            </w:r>
          </w:p>
        </w:tc>
        <w:tc>
          <w:tcPr>
            <w:tcW w:w="3698" w:type="dxa"/>
            <w:tcBorders/>
          </w:tcPr>
          <w:p>
            <w:pPr>
              <w:pStyle w:val="Normal"/>
              <w:overflowPunct w:val="false"/>
              <w:spacing w:lineRule="auto" w:line="240" w:before="0" w:after="0"/>
              <w:rPr>
                <w:rFonts w:ascii="Times New Roman" w:hAnsi="Times New Roman" w:cs="Times New Roman"/>
                <w:sz w:val="24"/>
                <w:szCs w:val="24"/>
                <w:lang w:val="sr-RS"/>
              </w:rPr>
            </w:pPr>
            <w:r>
              <w:rPr>
                <w:rFonts w:cs="Times New Roman" w:ascii="Times New Roman" w:hAnsi="Times New Roman"/>
                <w:bCs/>
                <w:color w:val="000000"/>
                <w:sz w:val="24"/>
                <w:szCs w:val="24"/>
                <w:lang w:val="sr-RS" w:eastAsia="de-DE"/>
              </w:rPr>
              <w:t>1.</w:t>
            </w:r>
          </w:p>
        </w:tc>
      </w:tr>
      <w:tr>
        <w:trPr/>
        <w:tc>
          <w:tcPr>
            <w:tcW w:w="3697" w:type="dxa"/>
            <w:tcBorders/>
          </w:tcPr>
          <w:p>
            <w:pPr>
              <w:pStyle w:val="Normal"/>
              <w:overflowPunct w:val="false"/>
              <w:spacing w:lineRule="auto" w:line="240" w:before="0" w:after="0"/>
              <w:rPr>
                <w:rFonts w:ascii="Times New Roman" w:hAnsi="Times New Roman" w:cs="Times New Roman"/>
                <w:bCs/>
                <w:color w:val="000000"/>
                <w:sz w:val="24"/>
                <w:szCs w:val="24"/>
                <w:lang w:eastAsia="de-DE"/>
              </w:rPr>
            </w:pPr>
            <w:r>
              <w:rPr>
                <w:rFonts w:cs="Times New Roman" w:ascii="Times New Roman" w:hAnsi="Times New Roman"/>
                <w:bCs/>
                <w:color w:val="000000"/>
                <w:sz w:val="24"/>
                <w:szCs w:val="24"/>
                <w:lang w:val="sr-RS" w:eastAsia="de-DE"/>
              </w:rPr>
              <w:t xml:space="preserve">2. </w:t>
            </w:r>
          </w:p>
        </w:tc>
        <w:tc>
          <w:tcPr>
            <w:tcW w:w="3698" w:type="dxa"/>
            <w:gridSpan w:val="2"/>
            <w:tcBorders/>
          </w:tcPr>
          <w:p>
            <w:pPr>
              <w:pStyle w:val="Normal"/>
              <w:overflowPunct w:val="false"/>
              <w:spacing w:lineRule="auto" w:line="240" w:before="0" w:after="0"/>
              <w:jc w:val="both"/>
              <w:rPr>
                <w:rFonts w:ascii="Times New Roman" w:hAnsi="Times New Roman" w:cs="Times New Roman"/>
                <w:bCs/>
                <w:color w:val="000000"/>
                <w:sz w:val="24"/>
                <w:szCs w:val="24"/>
                <w:lang w:eastAsia="de-DE"/>
              </w:rPr>
            </w:pPr>
            <w:r>
              <w:rPr>
                <w:rFonts w:cs="Times New Roman" w:ascii="Times New Roman" w:hAnsi="Times New Roman"/>
                <w:bCs/>
                <w:color w:val="000000"/>
                <w:sz w:val="24"/>
                <w:szCs w:val="24"/>
                <w:lang w:eastAsia="de-DE"/>
              </w:rPr>
            </w:r>
          </w:p>
        </w:tc>
        <w:tc>
          <w:tcPr>
            <w:tcW w:w="3698" w:type="dxa"/>
            <w:tcBorders/>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bCs/>
                <w:color w:val="000000"/>
                <w:sz w:val="24"/>
                <w:szCs w:val="24"/>
                <w:lang w:val="sr-RS" w:eastAsia="de-DE"/>
              </w:rPr>
              <w:t>2.</w:t>
            </w:r>
          </w:p>
        </w:tc>
      </w:tr>
      <w:tr>
        <w:trPr/>
        <w:tc>
          <w:tcPr>
            <w:tcW w:w="3697" w:type="dxa"/>
            <w:tcBorders/>
          </w:tcPr>
          <w:p>
            <w:pPr>
              <w:pStyle w:val="Normal"/>
              <w:overflowPunct w:val="false"/>
              <w:spacing w:lineRule="auto" w:line="240" w:before="0" w:after="0"/>
              <w:rPr>
                <w:rFonts w:ascii="Times New Roman" w:hAnsi="Times New Roman" w:cs="Times New Roman"/>
                <w:bCs/>
                <w:color w:val="000000"/>
                <w:sz w:val="24"/>
                <w:szCs w:val="24"/>
                <w:lang w:val="sr-RS" w:eastAsia="de-DE"/>
              </w:rPr>
            </w:pPr>
            <w:r>
              <w:rPr>
                <w:rFonts w:cs="Times New Roman" w:ascii="Times New Roman" w:hAnsi="Times New Roman"/>
                <w:bCs/>
                <w:color w:val="000000"/>
                <w:sz w:val="24"/>
                <w:szCs w:val="24"/>
                <w:lang w:val="sr-RS" w:eastAsia="de-DE"/>
              </w:rPr>
              <w:t xml:space="preserve">3. </w:t>
            </w:r>
          </w:p>
        </w:tc>
        <w:tc>
          <w:tcPr>
            <w:tcW w:w="3698" w:type="dxa"/>
            <w:gridSpan w:val="2"/>
            <w:tcBorders/>
          </w:tcPr>
          <w:p>
            <w:pPr>
              <w:pStyle w:val="Normal"/>
              <w:overflowPunct w:val="false"/>
              <w:spacing w:lineRule="auto" w:line="240" w:before="0" w:after="0"/>
              <w:jc w:val="both"/>
              <w:rPr>
                <w:rFonts w:ascii="Times New Roman" w:hAnsi="Times New Roman" w:cs="Times New Roman"/>
                <w:bCs/>
                <w:color w:val="000000"/>
                <w:sz w:val="24"/>
                <w:szCs w:val="24"/>
                <w:lang w:eastAsia="de-DE"/>
              </w:rPr>
            </w:pPr>
            <w:r>
              <w:rPr>
                <w:rFonts w:cs="Times New Roman" w:ascii="Times New Roman" w:hAnsi="Times New Roman"/>
                <w:bCs/>
                <w:color w:val="000000"/>
                <w:sz w:val="24"/>
                <w:szCs w:val="24"/>
                <w:lang w:eastAsia="de-DE"/>
              </w:rPr>
            </w:r>
          </w:p>
        </w:tc>
        <w:tc>
          <w:tcPr>
            <w:tcW w:w="3698" w:type="dxa"/>
            <w:tcBorders/>
          </w:tcPr>
          <w:p>
            <w:pPr>
              <w:pStyle w:val="Normal"/>
              <w:spacing w:lineRule="auto" w:line="240" w:before="0" w:after="0"/>
              <w:rPr>
                <w:rFonts w:ascii="Times New Roman" w:hAnsi="Times New Roman" w:cs="Times New Roman"/>
                <w:sz w:val="24"/>
                <w:szCs w:val="24"/>
                <w:lang w:val="sr-RS"/>
              </w:rPr>
            </w:pPr>
            <w:r>
              <w:rPr>
                <w:rFonts w:cs="Times New Roman" w:ascii="Times New Roman" w:hAnsi="Times New Roman"/>
                <w:bCs/>
                <w:color w:val="000000"/>
                <w:sz w:val="24"/>
                <w:szCs w:val="24"/>
                <w:lang w:val="sr-RS" w:eastAsia="de-DE"/>
              </w:rPr>
              <w:t>3.</w:t>
            </w:r>
          </w:p>
        </w:tc>
      </w:tr>
      <w:tr>
        <w:trPr/>
        <w:tc>
          <w:tcPr>
            <w:tcW w:w="11093" w:type="dxa"/>
            <w:gridSpan w:val="4"/>
            <w:tcBorders/>
          </w:tcPr>
          <w:p>
            <w:pPr>
              <w:pStyle w:val="Normal"/>
              <w:overflowPunct w:val="false"/>
              <w:spacing w:lineRule="auto" w:line="240" w:before="0" w:after="0"/>
              <w:rPr>
                <w:rFonts w:ascii="Times New Roman" w:hAnsi="Times New Roman" w:cs="Times New Roman"/>
                <w:bCs/>
                <w:color w:val="000000"/>
                <w:sz w:val="24"/>
                <w:szCs w:val="24"/>
                <w:lang w:val="sr-RS" w:eastAsia="de-DE"/>
              </w:rPr>
            </w:pPr>
            <w:r>
              <w:rPr>
                <w:rFonts w:cs="Times New Roman" w:ascii="Times New Roman" w:hAnsi="Times New Roman"/>
                <w:bCs/>
                <w:color w:val="000000"/>
                <w:sz w:val="24"/>
                <w:szCs w:val="24"/>
                <w:lang w:val="sr-RS" w:eastAsia="de-DE"/>
              </w:rPr>
              <w:t>Датум инспекцијског надзора:</w:t>
            </w:r>
          </w:p>
        </w:tc>
      </w:tr>
      <w:tr>
        <w:trPr>
          <w:trHeight w:val="314" w:hRule="atLeast"/>
        </w:trPr>
        <w:tc>
          <w:tcPr>
            <w:tcW w:w="11093" w:type="dxa"/>
            <w:gridSpan w:val="4"/>
            <w:tcBorders/>
          </w:tcPr>
          <w:p>
            <w:pPr>
              <w:pStyle w:val="Normal"/>
              <w:overflowPunct w:val="false"/>
              <w:spacing w:lineRule="auto" w:line="240" w:before="0" w:after="0"/>
              <w:rPr>
                <w:rFonts w:ascii="Times New Roman" w:hAnsi="Times New Roman" w:cs="Times New Roman"/>
                <w:bCs/>
                <w:color w:val="000000"/>
                <w:sz w:val="24"/>
                <w:szCs w:val="24"/>
                <w:lang w:val="sr-RS" w:eastAsia="de-DE"/>
              </w:rPr>
            </w:pPr>
            <w:r>
              <w:rPr>
                <w:rFonts w:cs="Times New Roman" w:ascii="Times New Roman" w:hAnsi="Times New Roman"/>
                <w:bCs/>
                <w:color w:val="000000"/>
                <w:sz w:val="24"/>
                <w:szCs w:val="24"/>
                <w:lang w:val="ru-RU" w:eastAsia="de-DE"/>
              </w:rPr>
              <w:t>Б</w:t>
            </w:r>
            <w:r>
              <w:rPr>
                <w:rFonts w:cs="Times New Roman" w:ascii="Times New Roman" w:hAnsi="Times New Roman"/>
                <w:bCs/>
                <w:color w:val="000000"/>
                <w:sz w:val="24"/>
                <w:szCs w:val="24"/>
                <w:lang w:val="sr-RS" w:eastAsia="de-DE"/>
              </w:rPr>
              <w:t>рој записника, уз који се прилаже контролна листа:</w:t>
            </w:r>
          </w:p>
        </w:tc>
      </w:tr>
    </w:tbl>
    <w:p>
      <w:pPr>
        <w:pStyle w:val="Normal"/>
        <w:spacing w:lineRule="auto" w:line="240" w:before="0" w:after="0"/>
        <w:jc w:val="both"/>
        <w:rPr>
          <w:rFonts w:ascii="Times New Roman" w:hAnsi="Times New Roman" w:cs="Times New Roman"/>
          <w:sz w:val="24"/>
          <w:szCs w:val="24"/>
          <w:lang w:val="sr-RS"/>
        </w:rPr>
      </w:pPr>
      <w:r>
        <w:rPr/>
      </w:r>
    </w:p>
    <w:sectPr>
      <w:headerReference w:type="default" r:id="rId2"/>
      <w:footerReference w:type="default" r:id="rId3"/>
      <w:type w:val="nextPage"/>
      <w:pgSz w:w="12240" w:h="15840"/>
      <w:pgMar w:left="1440" w:right="1440" w:header="454" w:top="1440" w:footer="454"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MS Gothic">
    <w:charset w:val="00"/>
    <w:family w:val="roman"/>
    <w:pitch w:val="variable"/>
  </w:font>
  <w:font w:name="Segoe UI Symbo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AutoText"/>
      </w:docPartObj>
      <w:id w:val="1439452373"/>
    </w:sdtPr>
    <w:sdtContent>
      <w:p>
        <w:pPr>
          <w:pStyle w:val="Footer"/>
          <w:jc w:val="right"/>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3</w:t>
        </w:r>
        <w:r>
          <w:rPr>
            <w:sz w:val="24"/>
            <w:szCs w:val="24"/>
            <w:rFonts w:cs="Times New Roman" w:ascii="Times New Roman" w:hAnsi="Times New Roman"/>
          </w:rPr>
          <w:fldChar w:fldCharType="end"/>
        </w:r>
        <w:r>
          <w:rPr>
            <w:rFonts w:cs="Times New Roman" w:ascii="Times New Roman" w:hAnsi="Times New Roman"/>
            <w:sz w:val="24"/>
            <w:szCs w:val="24"/>
            <w:lang w:val="sr-RS"/>
          </w:rPr>
          <w:t>/3</w:t>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530" w:type="dxa"/>
      <w:jc w:val="left"/>
      <w:tblInd w:w="-612" w:type="dxa"/>
      <w:tblCellMar>
        <w:top w:w="0" w:type="dxa"/>
        <w:left w:w="108" w:type="dxa"/>
        <w:bottom w:w="0" w:type="dxa"/>
        <w:right w:w="108" w:type="dxa"/>
      </w:tblCellMar>
      <w:tblLook w:firstRow="1" w:noVBand="1" w:lastRow="0" w:firstColumn="1" w:lastColumn="0" w:noHBand="0" w:val="04a0"/>
    </w:tblPr>
    <w:tblGrid>
      <w:gridCol w:w="988"/>
      <w:gridCol w:w="6842"/>
      <w:gridCol w:w="2700"/>
    </w:tblGrid>
    <w:tr>
      <w:trPr>
        <w:trHeight w:val="1088" w:hRule="atLeast"/>
      </w:trPr>
      <w:tc>
        <w:tcPr>
          <w:tcW w:w="988" w:type="dxa"/>
          <w:tcBorders/>
          <w:shd w:color="auto" w:fill="auto" w:val="clear"/>
        </w:tcPr>
        <w:p>
          <w:pPr>
            <w:pStyle w:val="Normal"/>
            <w:tabs>
              <w:tab w:val="clear" w:pos="720"/>
              <w:tab w:val="center" w:pos="1418" w:leader="none"/>
              <w:tab w:val="right" w:pos="9360" w:leader="none"/>
            </w:tabs>
            <w:spacing w:lineRule="auto" w:line="240" w:before="0" w:after="0"/>
            <w:ind w:right="-588" w:hanging="0"/>
            <w:rPr>
              <w:rFonts w:ascii="Times New Roman" w:hAnsi="Times New Roman" w:eastAsia="Times New Roman" w:cs="Times New Roman"/>
              <w:lang w:val="sr-Latn-RS" w:eastAsia="sr-Latn-RS"/>
            </w:rPr>
          </w:pPr>
          <w:r>
            <w:rPr/>
            <w:drawing>
              <wp:inline distT="0" distB="0" distL="0" distR="0">
                <wp:extent cx="387350" cy="673100"/>
                <wp:effectExtent l="0" t="0" r="0" b="0"/>
                <wp:docPr id="1" name="Picture 1" descr="Srbija-Grb_wp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rbija-Grb_wp_1024"/>
                        <pic:cNvPicPr>
                          <a:picLocks noChangeAspect="1" noChangeArrowheads="1"/>
                        </pic:cNvPicPr>
                      </pic:nvPicPr>
                      <pic:blipFill>
                        <a:blip r:embed="rId1"/>
                        <a:stretch>
                          <a:fillRect/>
                        </a:stretch>
                      </pic:blipFill>
                      <pic:spPr bwMode="auto">
                        <a:xfrm>
                          <a:off x="0" y="0"/>
                          <a:ext cx="387350" cy="673100"/>
                        </a:xfrm>
                        <a:prstGeom prst="rect">
                          <a:avLst/>
                        </a:prstGeom>
                      </pic:spPr>
                    </pic:pic>
                  </a:graphicData>
                </a:graphic>
              </wp:inline>
            </w:drawing>
          </w:r>
        </w:p>
      </w:tc>
      <w:tc>
        <w:tcPr>
          <w:tcW w:w="6842" w:type="dxa"/>
          <w:tcBorders/>
          <w:shd w:color="auto" w:fill="auto" w:val="clear"/>
          <w:vAlign w:val="center"/>
        </w:tcPr>
        <w:p>
          <w:pPr>
            <w:pStyle w:val="Normal"/>
            <w:rPr/>
          </w:pPr>
          <w:r>
            <w:rPr>
              <w:rFonts w:eastAsia="Times New Roman" w:cs="Times New Roman" w:ascii="Times New Roman" w:hAnsi="Times New Roman"/>
              <w:b/>
              <w:bCs/>
              <w:sz w:val="24"/>
              <w:szCs w:val="24"/>
              <w:lang w:val="en-US"/>
            </w:rPr>
            <w:t xml:space="preserve">      </w:t>
          </w:r>
          <w:r>
            <w:rPr>
              <w:rFonts w:eastAsia="Times New Roman" w:cs="Times New Roman" w:ascii="Times New Roman" w:hAnsi="Times New Roman"/>
              <w:b/>
              <w:bCs/>
              <w:sz w:val="24"/>
              <w:szCs w:val="24"/>
              <w:lang w:val="sr-RS"/>
            </w:rPr>
            <w:t>Р</w:t>
          </w:r>
          <w:r>
            <w:rPr>
              <w:rFonts w:eastAsia="Times New Roman" w:cs="Times New Roman" w:ascii="Times New Roman" w:hAnsi="Times New Roman"/>
              <w:b/>
              <w:bCs/>
              <w:sz w:val="24"/>
              <w:szCs w:val="24"/>
              <w:lang w:val="en-US"/>
            </w:rPr>
            <w:t>епублика Србија</w:t>
            <w:tab/>
            <w:tab/>
            <w:tab/>
            <w:tab/>
            <w:tab/>
            <w:t xml:space="preserve">          </w:t>
          </w:r>
        </w:p>
        <w:p>
          <w:pPr>
            <w:pStyle w:val="Normal"/>
            <w:spacing w:lineRule="auto" w:line="240" w:before="0" w:after="0"/>
            <w:jc w:val="both"/>
            <w:rPr/>
          </w:pPr>
          <w:r>
            <w:rPr>
              <w:rFonts w:eastAsia="Times New Roman" w:cs="Times New Roman" w:ascii="Times New Roman" w:hAnsi="Times New Roman"/>
              <w:b/>
              <w:bCs/>
              <w:sz w:val="24"/>
              <w:szCs w:val="24"/>
              <w:lang w:val="en-US"/>
            </w:rPr>
            <w:t xml:space="preserve">     </w:t>
          </w:r>
          <w:r>
            <w:rPr>
              <w:rFonts w:cs="Times New Roman" w:ascii="Times New Roman" w:hAnsi="Times New Roman"/>
              <w:b/>
              <w:bCs/>
              <w:sz w:val="24"/>
              <w:szCs w:val="24"/>
              <w:lang w:val="en-US"/>
            </w:rPr>
            <w:t>ОПШТИНА СУРДУЛИЦА</w:t>
          </w:r>
        </w:p>
        <w:p>
          <w:pPr>
            <w:pStyle w:val="Normal"/>
            <w:spacing w:lineRule="auto" w:line="240" w:before="0" w:after="0"/>
            <w:jc w:val="both"/>
            <w:rPr/>
          </w:pPr>
          <w:r>
            <w:rPr>
              <w:rFonts w:eastAsia="Times New Roman" w:cs="Times New Roman" w:ascii="Times New Roman" w:hAnsi="Times New Roman"/>
              <w:b/>
              <w:bCs/>
              <w:sz w:val="24"/>
              <w:szCs w:val="24"/>
              <w:lang w:val="en-US"/>
            </w:rPr>
            <w:t xml:space="preserve">     </w:t>
          </w:r>
          <w:r>
            <w:rPr>
              <w:rFonts w:cs="Times New Roman" w:ascii="Times New Roman" w:hAnsi="Times New Roman"/>
              <w:b/>
              <w:bCs/>
              <w:sz w:val="24"/>
              <w:szCs w:val="24"/>
              <w:lang w:val="en-US"/>
            </w:rPr>
            <w:t>ОПШТИНСКА УПРАВА</w:t>
          </w:r>
        </w:p>
        <w:p>
          <w:pPr>
            <w:pStyle w:val="Normal"/>
            <w:spacing w:lineRule="auto" w:line="240" w:before="0" w:after="0"/>
            <w:jc w:val="both"/>
            <w:rPr/>
          </w:pPr>
          <w:r>
            <w:rPr>
              <w:rFonts w:eastAsia="Times New Roman" w:cs="Times New Roman" w:ascii="Times New Roman" w:hAnsi="Times New Roman"/>
              <w:b/>
              <w:bCs/>
              <w:sz w:val="24"/>
              <w:szCs w:val="24"/>
              <w:lang w:val="en-US"/>
            </w:rPr>
            <w:t xml:space="preserve">     </w:t>
          </w:r>
          <w:r>
            <w:rPr>
              <w:rFonts w:cs="Times New Roman" w:ascii="Times New Roman" w:hAnsi="Times New Roman"/>
              <w:b/>
              <w:bCs/>
              <w:sz w:val="24"/>
              <w:szCs w:val="24"/>
              <w:lang w:val="en-US"/>
            </w:rPr>
            <w:t>Одељење за урбанизам, стамбено-комуналне,</w:t>
          </w:r>
        </w:p>
        <w:p>
          <w:pPr>
            <w:pStyle w:val="Normal"/>
            <w:spacing w:lineRule="auto" w:line="240" w:before="0" w:after="0"/>
            <w:jc w:val="both"/>
            <w:rPr/>
          </w:pPr>
          <w:r>
            <w:rPr>
              <w:rFonts w:eastAsia="Times New Roman" w:cs="Times New Roman" w:ascii="Times New Roman" w:hAnsi="Times New Roman"/>
              <w:b/>
              <w:bCs/>
              <w:sz w:val="24"/>
              <w:szCs w:val="24"/>
              <w:lang w:val="en-US"/>
            </w:rPr>
            <w:t xml:space="preserve">     </w:t>
          </w:r>
          <w:r>
            <w:rPr>
              <w:rFonts w:cs="Times New Roman" w:ascii="Times New Roman" w:hAnsi="Times New Roman"/>
              <w:b/>
              <w:bCs/>
              <w:sz w:val="24"/>
              <w:szCs w:val="24"/>
              <w:lang w:val="en-US"/>
            </w:rPr>
            <w:t>грађевинске и имовинско-правне послове</w:t>
          </w:r>
        </w:p>
        <w:p>
          <w:pPr>
            <w:pStyle w:val="Normal"/>
            <w:jc w:val="both"/>
            <w:rPr/>
          </w:pPr>
          <w:r>
            <w:rPr>
              <w:rFonts w:eastAsia="Times New Roman" w:cs="Times New Roman" w:ascii="Times New Roman" w:hAnsi="Times New Roman"/>
              <w:b/>
              <w:bCs/>
              <w:sz w:val="24"/>
              <w:szCs w:val="24"/>
              <w:lang w:val="en-US"/>
            </w:rPr>
            <w:t xml:space="preserve">      </w:t>
          </w:r>
          <w:r>
            <w:rPr>
              <w:rFonts w:cs="Times New Roman" w:ascii="Times New Roman" w:hAnsi="Times New Roman"/>
              <w:b/>
              <w:bCs/>
              <w:sz w:val="24"/>
              <w:szCs w:val="24"/>
              <w:lang w:val="en-US"/>
            </w:rPr>
            <w:t>Број: 501-___________</w:t>
          </w:r>
        </w:p>
        <w:p>
          <w:pPr>
            <w:pStyle w:val="Normal"/>
            <w:spacing w:lineRule="auto" w:line="240" w:before="0" w:after="0"/>
            <w:rPr>
              <w:rFonts w:ascii="Times New Roman" w:hAnsi="Times New Roman" w:eastAsia="Times New Roman" w:cs="Times New Roman"/>
              <w:b/>
              <w:b/>
              <w:lang w:val="ru-RU"/>
            </w:rPr>
          </w:pPr>
          <w:r>
            <w:rPr>
              <w:rFonts w:eastAsia="Times New Roman" w:cs="Times New Roman" w:ascii="Times New Roman" w:hAnsi="Times New Roman"/>
              <w:b/>
              <w:bCs/>
              <w:sz w:val="24"/>
              <w:szCs w:val="24"/>
              <w:lang w:val="en-US" w:eastAsia="sr-Latn-RS"/>
            </w:rPr>
            <w:t xml:space="preserve">      </w:t>
          </w:r>
          <w:r>
            <w:rPr>
              <w:rFonts w:eastAsia="Times New Roman" w:cs="Times New Roman" w:ascii="Times New Roman" w:hAnsi="Times New Roman"/>
              <w:b/>
              <w:bCs/>
              <w:sz w:val="24"/>
              <w:szCs w:val="24"/>
              <w:lang w:val="en-US" w:eastAsia="sr-Latn-RS"/>
            </w:rPr>
            <w:t>СУРДУЛИЦА</w:t>
          </w:r>
        </w:p>
      </w:tc>
      <w:tc>
        <w:tcPr>
          <w:tcW w:w="2700" w:type="dxa"/>
          <w:tcBorders/>
          <w:shd w:color="auto" w:fill="auto" w:val="clear"/>
          <w:vAlign w:val="center"/>
        </w:tcPr>
        <w:p>
          <w:pPr>
            <w:pStyle w:val="Normal"/>
            <w:tabs>
              <w:tab w:val="clear" w:pos="720"/>
              <w:tab w:val="center" w:pos="1418" w:leader="none"/>
              <w:tab w:val="right" w:pos="9360" w:leader="none"/>
            </w:tabs>
            <w:spacing w:lineRule="auto" w:line="240" w:before="0" w:after="0"/>
            <w:rPr>
              <w:rFonts w:ascii="Times New Roman" w:hAnsi="Times New Roman" w:eastAsia="Times New Roman" w:cs="Times New Roman"/>
              <w:b/>
              <w:b/>
              <w:sz w:val="24"/>
              <w:szCs w:val="24"/>
              <w:lang w:val="sr-RS" w:eastAsia="sr-Latn-RS"/>
            </w:rPr>
          </w:pPr>
          <w:r>
            <w:rPr>
              <w:rFonts w:eastAsia="Times New Roman" w:cs="Times New Roman" w:ascii="Times New Roman" w:hAnsi="Times New Roman"/>
              <w:b/>
              <w:sz w:val="24"/>
              <w:szCs w:val="24"/>
              <w:lang w:val="sr-Latn-RS" w:eastAsia="sr-Latn-RS"/>
            </w:rPr>
            <w:t>Шифра:</w:t>
          </w:r>
          <w:r>
            <w:rPr>
              <w:rFonts w:eastAsia="Times New Roman" w:cs="Times New Roman" w:ascii="Times New Roman" w:hAnsi="Times New Roman"/>
              <w:b/>
              <w:sz w:val="24"/>
              <w:szCs w:val="24"/>
              <w:lang w:val="sr-RS" w:eastAsia="sr-Latn-RS"/>
            </w:rPr>
            <w:t xml:space="preserve"> КЛ-15-01/01</w:t>
          </w:r>
        </w:p>
        <w:p>
          <w:pPr>
            <w:pStyle w:val="Normal"/>
            <w:tabs>
              <w:tab w:val="clear" w:pos="720"/>
              <w:tab w:val="center" w:pos="1418" w:leader="none"/>
              <w:tab w:val="right" w:pos="9360" w:leader="none"/>
            </w:tabs>
            <w:spacing w:lineRule="auto" w:line="240" w:before="0" w:after="0"/>
            <w:rPr>
              <w:rFonts w:ascii="Times New Roman" w:hAnsi="Times New Roman" w:eastAsia="Times New Roman" w:cs="Times New Roman"/>
              <w:b/>
              <w:b/>
              <w:sz w:val="24"/>
              <w:szCs w:val="24"/>
              <w:lang w:val="sr-Latn-RS"/>
            </w:rPr>
          </w:pPr>
          <w:r>
            <w:rPr>
              <w:rFonts w:eastAsia="Times New Roman" w:cs="Times New Roman" w:ascii="Times New Roman" w:hAnsi="Times New Roman"/>
              <w:b/>
              <w:sz w:val="24"/>
              <w:szCs w:val="24"/>
              <w:lang w:val="sr-RS"/>
            </w:rPr>
            <w:t xml:space="preserve">Датум: </w:t>
          </w:r>
          <w:r>
            <w:rPr>
              <w:rFonts w:eastAsia="Times New Roman" w:cs="Times New Roman" w:ascii="Times New Roman" w:hAnsi="Times New Roman"/>
              <w:b/>
              <w:sz w:val="24"/>
              <w:szCs w:val="24"/>
              <w:lang w:val="sr-Latn-RS"/>
            </w:rPr>
            <w:t>27.12.2024.</w:t>
          </w:r>
        </w:p>
        <w:p>
          <w:pPr>
            <w:pStyle w:val="Normal"/>
            <w:tabs>
              <w:tab w:val="clear" w:pos="720"/>
              <w:tab w:val="center" w:pos="1418" w:leader="none"/>
              <w:tab w:val="right" w:pos="9360" w:leader="none"/>
            </w:tabs>
            <w:spacing w:lineRule="auto" w:line="240" w:before="0" w:after="0"/>
            <w:rPr>
              <w:rFonts w:ascii="Times New Roman" w:hAnsi="Times New Roman" w:eastAsia="Times New Roman" w:cs="Times New Roman"/>
              <w:b/>
              <w:b/>
              <w:bCs/>
              <w:sz w:val="24"/>
              <w:szCs w:val="24"/>
              <w:lang w:val="sr-RS" w:eastAsia="sr-Latn-RS"/>
            </w:rPr>
          </w:pPr>
          <w:r>
            <w:rPr>
              <w:rFonts w:eastAsia="Times New Roman" w:cs="Times New Roman" w:ascii="Times New Roman" w:hAnsi="Times New Roman"/>
              <w:b/>
              <w:bCs/>
              <w:sz w:val="24"/>
              <w:szCs w:val="24"/>
              <w:lang w:val="sr-RS" w:eastAsia="sr-Latn-RS"/>
            </w:rPr>
            <w:t>ИНД</w:t>
          </w:r>
        </w:p>
      </w:tc>
    </w:tr>
  </w:tbl>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character" w:styleId="BalloonTextChar" w:customStyle="1">
    <w:name w:val="Balloon Text Char"/>
    <w:basedOn w:val="DefaultParagraphFont"/>
    <w:link w:val="BalloonText"/>
    <w:uiPriority w:val="99"/>
    <w:semiHidden/>
    <w:qFormat/>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pPr>
      <w:spacing w:lineRule="auto" w:line="240" w:before="0" w:after="0"/>
    </w:pPr>
    <w:rPr>
      <w:rFonts w:ascii="Segoe UI" w:hAnsi="Segoe UI" w:cs="Segoe UI"/>
      <w:sz w:val="18"/>
      <w:szCs w:val="18"/>
    </w:rPr>
  </w:style>
  <w:style w:type="paragraph" w:styleId="HeaderandFooter">
    <w:name w:val="Header and Footer"/>
    <w:basedOn w:val="Normal"/>
    <w:qFormat/>
    <w:pPr/>
    <w:rPr/>
  </w:style>
  <w:style w:type="paragraph" w:styleId="Footer">
    <w:name w:val="Footer"/>
    <w:basedOn w:val="Normal"/>
    <w:link w:val="FooterChar"/>
    <w:uiPriority w:val="99"/>
    <w:unhideWhenUsed/>
    <w:qFormat/>
    <w:pPr>
      <w:tabs>
        <w:tab w:val="clear" w:pos="720"/>
        <w:tab w:val="center" w:pos="4680" w:leader="none"/>
        <w:tab w:val="right" w:pos="9360" w:leader="none"/>
      </w:tabs>
      <w:spacing w:lineRule="auto" w:line="240" w:before="0" w:after="0"/>
    </w:pPr>
    <w:rPr/>
  </w:style>
  <w:style w:type="paragraph" w:styleId="Header">
    <w:name w:val="Header"/>
    <w:basedOn w:val="Normal"/>
    <w:link w:val="HeaderChar"/>
    <w:uiPriority w:val="99"/>
    <w:unhideWhenUsed/>
    <w:pPr>
      <w:tabs>
        <w:tab w:val="clear" w:pos="720"/>
        <w:tab w:val="center" w:pos="4680" w:leader="none"/>
        <w:tab w:val="right" w:pos="9360" w:leader="none"/>
      </w:tabs>
      <w:spacing w:lineRule="auto" w:line="240" w:before="0" w:after="0"/>
    </w:pPr>
    <w:rPr/>
  </w:style>
  <w:style w:type="paragraph" w:styleId="ListParagraph">
    <w:name w:val="List Paragraph"/>
    <w:basedOn w:val="Normal"/>
    <w:uiPriority w:val="34"/>
    <w:qFormat/>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21439-06C6-4F2A-A5E8-685CE2289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LibreOffice/6.4.5.2$Windows_x86 LibreOffice_project/a726b36747cf2001e06b58ad5db1aa3a9a1872d6</Application>
  <Pages>3</Pages>
  <Words>881</Words>
  <Characters>4648</Characters>
  <CharactersWithSpaces>5514</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2024-12-30T10:54:00Z</dcterms:created>
  <dc:creator>Aleksandar</dc:creator>
  <dc:description/>
  <dc:language>en-US</dc:language>
  <cp:lastModifiedBy/>
  <cp:lastPrinted>2019-03-06T06:36:00Z</cp:lastPrinted>
  <dcterms:modified xsi:type="dcterms:W3CDTF">2025-03-31T14:10:11Z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ICV">
    <vt:lpwstr>DDE9A51E1503464E9F569C38C5A219DE_12</vt:lpwstr>
  </property>
  <property fmtid="{D5CDD505-2E9C-101B-9397-08002B2CF9AE}" pid="6" name="KSOProductBuildVer">
    <vt:lpwstr>1033-12.2.0.13431</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