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ПРОИЗВОЂАЧА ОПАСНОГ ОТПАДА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Latn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Обавезе </w:t>
      </w: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произвођача</w:t>
      </w:r>
      <w:r>
        <w:rPr>
          <w:rFonts w:eastAsia="Times New Roman" w:ascii="Times New Roman" w:hAnsi="Times New Roman"/>
          <w:sz w:val="24"/>
          <w:szCs w:val="24"/>
          <w:vertAlign w:val="superscript"/>
          <w:lang w:val="sr-RS" w:eastAsia="sr-Latn-RS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>опасног отпада према Закону о управљању отпадом</w:t>
      </w:r>
      <w:r>
        <w:rPr>
          <w:rFonts w:eastAsia="Times New Roman" w:ascii="Times New Roman" w:hAnsi="Times New Roman"/>
          <w:sz w:val="24"/>
          <w:szCs w:val="24"/>
          <w:lang w:val="sr-Latn-RS" w:eastAsia="sr-Latn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tbl>
      <w:tblPr>
        <w:tblW w:w="1070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72"/>
        <w:gridCol w:w="5232"/>
      </w:tblGrid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Б: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Статус правног лица, предузетника</w:t>
      </w:r>
    </w:p>
    <w:tbl>
      <w:tblPr>
        <w:tblW w:w="108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09"/>
        <w:gridCol w:w="2880"/>
      </w:tblGrid>
      <w:tr>
        <w:trPr/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 *</w:t>
            </w:r>
          </w:p>
        </w:tc>
      </w:tr>
      <w:tr>
        <w:trPr/>
        <w:tc>
          <w:tcPr>
            <w:tcW w:w="10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12"/>
          <w:szCs w:val="12"/>
          <w:lang w:val="sr-RS"/>
        </w:rPr>
      </w:pPr>
      <w:r>
        <w:rPr>
          <w:rFonts w:eastAsia="Calibri" w:cs="Times New Roman" w:ascii="Times New Roman" w:hAnsi="Times New Roman"/>
          <w:sz w:val="12"/>
          <w:szCs w:val="12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W w:w="10980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531"/>
        <w:gridCol w:w="6668"/>
        <w:gridCol w:w="3781"/>
      </w:tblGrid>
      <w:tr>
        <w:trPr>
          <w:trHeight w:val="323" w:hRule="atLeast"/>
          <w:cantSplit w:val="true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А) Документација о отпаду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произвођач отпада одредио лице одговорно за управљање отпадом?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сачинио План управљања отпадом (*обавеза постоји уколико производи годишње више од 100 тона неопасног отпада, односно 200 килограма опасног отпада)?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План управљања отпадом садржи све елементе прописане чланом 15. Закона о управљању отпадом?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извршио ажурирање Плана управљања отпадом у року од три године?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Spacing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Spacing"/>
              <w:rPr>
                <w:rFonts w:eastAsia="Calibri"/>
                <w:lang w:val="sr-CS" w:eastAsia="ru-RU"/>
              </w:rPr>
            </w:pPr>
            <w:r>
              <w:rPr>
                <w:rFonts w:cs="Segoe UI Symbol" w:ascii="Segoe UI Symbol" w:hAnsi="Segoe UI Symbol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7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обновио извештај о испитивању отпада ако је дошло до промене технологије, порекла сировине и других активности које би могле да утичу на промену карактера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47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нови извештај о испитивању отпада, након истека 5 година од прибављања претходног извештаја о испитивању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18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 поседује Документе о кретању опасног отпада на прописаном обрасцу, који су потписани од стране примаоца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</w:tr>
      <w:tr>
        <w:trPr>
          <w:trHeight w:val="18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достављао претходно обавештење о кретању опасног отпада, уносом података у информациони систем Агенције за заштиту животне средине, 48 часова пре започињања његовог кретања?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је произвођач отпада предавао опасан отпад само лицима која су овлашћена за управљање том врстом отпада, тог индексног броја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за сваку предају опасног отпада достављен Документ о кретању опасног отпада, уносом података у информациони систем Агенције за заштиту животне средине, у року од 15 дана од завршетка кретања отпада?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</w:t>
            </w:r>
          </w:p>
        </w:tc>
      </w:tr>
      <w:tr>
        <w:trPr>
          <w:trHeight w:val="151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Да ли је, за сваку врсту опасног отпада, Агенцији за заштиту животне средине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достављен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Образац ГИО 1 - Годишњи извештај о отпаду произвођача отпада, уношењем 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информациони систем Националног регистра извора загађивања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и у папирној форми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потписан и оверен, у року до 31. марта текуће године за претходну годину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67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Да ли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произвођач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, за све врсте опасног отпада води дневну евиденцију на Обрасцу ДЕО 1 - Дневна евиденција о отпаду произвођача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103" w:hRule="atLeast"/>
          <w:cantSplit w:val="true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Б) Привремено складиштење опасног отпада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се све количине опасног отпада сакупљају и привремено складиште у објекту посебно изграђенoм за ту намену, технички опремљенoм за привремено чување опасног отпада?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66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складиште опасног отпада ограђено ради спречавања приступа неовлашћеним лицима и физички обезбеђено?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је складиште опасног отпада закључано и под сталним надзором?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складиште опасног отпада има довољно места за лак и слободан приступ ускладиштеном опасном отпаду, ради контроле, препакивања, мерења, узорковања, транспорта и друго?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3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су посуде за складиштење опасног отпада у течном стању обезбеђене непропусном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танкваном, која може да прими целокупну количину отпада у случају удеса (процуривања)?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  <w:vertAlign w:val="superscript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Ако се у складишту опасног отпада складишти (и) отпадно уље, да ли је подлога на којој се складишти отпадно уље стабилна, отпорна на агресивне материје и непропусна за уље и воду?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329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Ако је у складишту опасног отпада складиштено (и) отпадно уље, да ли то складиште има систем за потпуни контролисани прихват зауљене атмосферске воде са свих површина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11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color w:val="FFC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Ако је у складишту опасног отпада складиштено (и) отпадно уље да ли то складиште има сепаратор уља и масти, за предтретман прихваћене зауљене атмосферске воде, и да ли се сепаратор редовно празни и одржава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Б9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су све количине опасног отпада упаковане у посуде које су отпорне на отпад и технички исправне, без корозије и другог оштећења које може довести до цурења отпада?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Б10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ascii="Arial" w:hAnsi="Arial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ли су све посуде за складиштење опасног отпада затворене и израђене од материјала који обезбеђује непропустљивост, са одговарајућом заштитом од атмосферског утицаја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color w:val="FF0000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Б11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све количине опасног отпада обележене видљиво и јасно, одговарајућим налепницама које садрже све прописане податке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eastAsia="Cambria Math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593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Б12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Cambria Math" w:cs="Times New Roman" w:ascii="Times New Roman" w:hAnsi="Times New Roman"/>
                <w:sz w:val="24"/>
                <w:szCs w:val="24"/>
                <w:lang w:val="sr-CS" w:eastAsia="ru-RU"/>
              </w:rPr>
              <w:t>произвођач отпада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складишти неку врсту и количину опасног отпада дуже од 36 месеци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526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Б13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 Math" w:cs="Times New Roman"/>
                <w:sz w:val="24"/>
                <w:szCs w:val="24"/>
                <w:lang w:val="sr-R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мешање различитих категорија опасног отпада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 xml:space="preserve"> (Y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ознака), или мешање опасног отпада са неопасним или комуналним отпадом, другим супстанцама и материјама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</w:p>
        </w:tc>
      </w:tr>
      <w:tr>
        <w:trPr>
          <w:trHeight w:val="69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Б14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разблаживање опасног отпада ради испуштања у животну средину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  <w:tr>
        <w:trPr>
          <w:trHeight w:val="1232" w:hRule="atLeast"/>
          <w:cantSplit w:val="true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Б15</w:t>
            </w:r>
          </w:p>
        </w:tc>
        <w:tc>
          <w:tcPr>
            <w:tcW w:w="6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Да ли се на локацији произвођача отпада налазе уређаји који садрже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Latn-RS" w:eastAsia="ru-RU"/>
              </w:rPr>
              <w:t>PCB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 материје, или се претпоставља да садрже PCB материје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 w:eastAsia="ru-RU"/>
              </w:rPr>
              <w:t xml:space="preserve">(*НАПОМЕНА: Када је одговор „Да“, за питања у вези ових уређаја треба користити и другу контролну листу) 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RS"/>
              </w:rPr>
              <w:t>☐</w:t>
            </w:r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  <w:bookmarkStart w:id="0" w:name="_Toc178427149"/>
      <w:bookmarkStart w:id="1" w:name="_Toc178427149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</w:p>
    <w:tbl>
      <w:tblPr>
        <w:tblW w:w="11070" w:type="dxa"/>
        <w:jc w:val="left"/>
        <w:tblInd w:w="-99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40"/>
        <w:gridCol w:w="4140"/>
        <w:gridCol w:w="3690"/>
      </w:tblGrid>
      <w:tr>
        <w:trPr/>
        <w:tc>
          <w:tcPr>
            <w:tcW w:w="7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4" w:hRule="atLeast"/>
        </w:trPr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bCs/>
        <w:sz w:val="24"/>
        <w:szCs w:val="24"/>
      </w:rPr>
      <w:fldChar w:fldCharType="begin"/>
    </w:r>
    <w:r>
      <w:rPr>
        <w:sz w:val="24"/>
        <w:szCs w:val="24"/>
        <w:bCs/>
        <w:rFonts w:cs="Times New Roman" w:ascii="Times New Roman" w:hAnsi="Times New Roman"/>
      </w:rPr>
      <w:instrText> PAGE </w:instrText>
    </w:r>
    <w:r>
      <w:rPr>
        <w:sz w:val="24"/>
        <w:szCs w:val="24"/>
        <w:bCs/>
        <w:rFonts w:cs="Times New Roman" w:ascii="Times New Roman" w:hAnsi="Times New Roman"/>
      </w:rPr>
      <w:fldChar w:fldCharType="separate"/>
    </w:r>
    <w:r>
      <w:rPr>
        <w:sz w:val="24"/>
        <w:szCs w:val="24"/>
        <w:bCs/>
        <w:rFonts w:cs="Times New Roman" w:ascii="Times New Roman" w:hAnsi="Times New Roman"/>
      </w:rPr>
      <w:t>4</w:t>
    </w:r>
    <w:r>
      <w:rPr>
        <w:sz w:val="24"/>
        <w:szCs w:val="24"/>
        <w:bCs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  <w:lang w:val="sr-RS"/>
      </w:rPr>
      <w:t>/</w:t>
    </w:r>
    <w:r>
      <w:rPr>
        <w:rFonts w:cs="Times New Roman" w:ascii="Times New Roman" w:hAnsi="Times New Roman"/>
        <w:bCs/>
        <w:sz w:val="24"/>
        <w:szCs w:val="24"/>
      </w:rPr>
      <w:fldChar w:fldCharType="begin"/>
    </w:r>
    <w:r>
      <w:rPr>
        <w:sz w:val="24"/>
        <w:szCs w:val="24"/>
        <w:bCs/>
        <w:rFonts w:cs="Times New Roman" w:ascii="Times New Roman" w:hAnsi="Times New Roman"/>
      </w:rPr>
      <w:instrText> NUMPAGES </w:instrText>
    </w:r>
    <w:r>
      <w:rPr>
        <w:sz w:val="24"/>
        <w:szCs w:val="24"/>
        <w:bCs/>
        <w:rFonts w:cs="Times New Roman" w:ascii="Times New Roman" w:hAnsi="Times New Roman"/>
      </w:rPr>
      <w:fldChar w:fldCharType="separate"/>
    </w:r>
    <w:r>
      <w:rPr>
        <w:sz w:val="24"/>
        <w:szCs w:val="24"/>
        <w:bCs/>
        <w:rFonts w:cs="Times New Roman" w:ascii="Times New Roman" w:hAnsi="Times New Roman"/>
      </w:rPr>
      <w:t>4</w:t>
    </w:r>
    <w:r>
      <w:rPr>
        <w:sz w:val="24"/>
        <w:szCs w:val="24"/>
        <w:bCs/>
        <w:rFonts w:cs="Times New Roman" w:ascii="Times New Roman" w:hAnsi="Times New Roman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2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211"/>
      <w:gridCol w:w="3421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Arial" w:hAnsi="Arial" w:eastAsia="Arial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1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Arial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/>
            </w:rPr>
            <w:t>Број: 501-</w:t>
          </w:r>
        </w:p>
      </w:tc>
      <w:tc>
        <w:tcPr>
          <w:tcW w:w="3421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en-U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Шифра: КЛ-07-02/05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Датум: 27.1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.2023.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Arial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5aa1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NoSpacing">
    <w:name w:val="No Spacing"/>
    <w:uiPriority w:val="1"/>
    <w:qFormat/>
    <w:rsid w:val="00f01ad0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B0A0-6BB8-4F34-82E7-6FCBC9A08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4</Pages>
  <Words>1109</Words>
  <Characters>5713</Characters>
  <CharactersWithSpaces>6677</CharactersWithSpaces>
  <Paragraphs>189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2023-08-14T10:25:00Z</dcterms:created>
  <dc:creator>Jelena Stankovic</dc:creator>
  <dc:description/>
  <dc:language>en-US</dc:language>
  <cp:lastModifiedBy/>
  <cp:lastPrinted>2019-04-10T12:29:00Z</cp:lastPrinted>
  <dcterms:modified xsi:type="dcterms:W3CDTF">2024-11-18T10:14:31Z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