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uppressLineNumbers/>
        <w:spacing w:lineRule="auto" w:line="240" w:before="0" w:after="0"/>
        <w:jc w:val="both"/>
        <w:rPr>
          <w:lang w:val="sr-R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sr-Latn-R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 w:eastAsia="sr-Latn-RS"/>
        </w:rPr>
        <w:t>https://www.ekologija.gov.rs/dozvole-obrasci/kontrolne-liste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Контролна листа: ЗАШТИТА ВАЗДУХА КОД ПОСТРОЈЕЊА ЗА САГОРЕВАЊЕ БЕЗ КОНТИНУАЛНОГ МЕРЕЊА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Обавезе из Закона о заштити ваздуха, за постројења за сагоревање на којима се не врши континуално мерење емисије са дозволом министарства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val="sr-RS" w:eastAsia="sr-Latn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iCs/>
          <w:sz w:val="24"/>
          <w:szCs w:val="24"/>
          <w:lang w:val="sr-RS"/>
        </w:rPr>
        <w:t>Контролна листа се попуњава само за привредно друштво, друго правно лице или предузетнике, у складу са значењем израза за оператера из члана 3. Закона о заштити ваздуха.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lang w:val="sr-RS"/>
        </w:rPr>
      </w:pPr>
      <w:r>
        <w:rPr>
          <w:rFonts w:cs="Times New Roman" w:ascii="Times New Roman" w:hAnsi="Times New Roman"/>
          <w:sz w:val="16"/>
          <w:szCs w:val="16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А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: </w:t>
      </w:r>
      <w:r>
        <w:rPr>
          <w:rFonts w:cs="Times New Roman" w:ascii="Times New Roman" w:hAnsi="Times New Roman"/>
          <w:sz w:val="24"/>
          <w:szCs w:val="24"/>
          <w:lang w:val="sr-RS"/>
        </w:rPr>
        <w:t>Општи подаци</w:t>
      </w:r>
    </w:p>
    <w:tbl>
      <w:tblPr>
        <w:tblStyle w:val="TableGrid"/>
        <w:tblW w:w="1103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61"/>
        <w:gridCol w:w="6172"/>
      </w:tblGrid>
      <w:tr>
        <w:trPr/>
        <w:tc>
          <w:tcPr>
            <w:tcW w:w="48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оператера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 и место седишта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ПИБ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486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95" w:hRule="atLeast"/>
        </w:trPr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постројења / ознака димњака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95" w:hRule="atLeast"/>
        </w:trPr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 место постројења</w:t>
            </w:r>
          </w:p>
        </w:tc>
        <w:tc>
          <w:tcPr>
            <w:tcW w:w="61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Табела Б: 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Статус правног лица, предузетника</w:t>
      </w:r>
    </w:p>
    <w:tbl>
      <w:tblPr>
        <w:tblStyle w:val="TableGrid"/>
        <w:tblW w:w="1103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04"/>
        <w:gridCol w:w="2429"/>
      </w:tblGrid>
      <w:tr>
        <w:trPr/>
        <w:tc>
          <w:tcPr>
            <w:tcW w:w="860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2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*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/>
        <w:tc>
          <w:tcPr>
            <w:tcW w:w="11033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Када је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В: Законске обавезе</w:t>
      </w:r>
    </w:p>
    <w:tbl>
      <w:tblPr>
        <w:tblStyle w:val="TableGrid"/>
        <w:tblW w:w="11043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535"/>
        <w:gridCol w:w="7960"/>
        <w:gridCol w:w="2548"/>
      </w:tblGrid>
      <w:tr>
        <w:trPr>
          <w:trHeight w:val="312" w:hRule="atLeast"/>
          <w:cantSplit w:val="true"/>
        </w:trPr>
        <w:tc>
          <w:tcPr>
            <w:tcW w:w="11043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А) Повремена мерења емисије (испуштања)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овлашћено правно лице извршило једно повремено мерење емисије у првих шест и једно у других шест календарских месеци, за све загађујуће материје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eastAsia="TimesNewRoman" w:cs="Times New Roman" w:ascii="Times New Roman" w:hAnsi="Times New Roman"/>
                <w:sz w:val="24"/>
                <w:szCs w:val="24"/>
                <w:lang w:val="sr-RS"/>
              </w:rPr>
              <w:t xml:space="preserve">при раду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свих котлова који чине постројење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примењиво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774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А2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су повремена и контролно мерење емисије извршени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/>
                <w:szCs w:val="24"/>
                <w:lang w:val="sr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А3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мерно место постављено тако да нема разблаживања отпадних гасова и да нема мешања са отпадним гасовима из стационарног извора који не спада у постројење за сагоревање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/>
                <w:szCs w:val="24"/>
                <w:lang w:val="sr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А4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мерно место постављено у складу са захтевима и препорукама стандарда СРПС ЕН 15259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/>
                <w:szCs w:val="24"/>
                <w:lang w:val="sr-RS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А5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извршено контролно мерење емисије због основане сумње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  <w:tr>
        <w:trPr>
          <w:trHeight w:val="312" w:hRule="atLeast"/>
          <w:cantSplit w:val="true"/>
        </w:trPr>
        <w:tc>
          <w:tcPr>
            <w:tcW w:w="11043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Б) Континуално мерење емисије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Б1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за које је прописано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>(Изузеци од извршења обавезе су када: 1) у календарској години ради мање од 500 часова, 2) преостали животни век мањи од 10 000 часова код постројења топлотне снаге 100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Latn-RS"/>
              </w:rPr>
              <w:t>MWth и веће</w:t>
            </w:r>
            <w:r>
              <w:rPr>
                <w:rFonts w:eastAsia="Calibri" w:cs="Times New Roman" w:ascii="Times New Roman" w:hAnsi="Times New Roman"/>
                <w:i/>
                <w:sz w:val="24"/>
                <w:szCs w:val="24"/>
                <w:lang w:val="sr-RS"/>
              </w:rPr>
              <w:t>, 3) други изузеци из Прилога 3 уредбе о мерењима, и 4) када обавеза постоји само на основу масеног протока загађујуће материје за коју није прописана ГВЕ)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  <w:tr>
        <w:trPr>
          <w:trHeight w:val="312" w:hRule="atLeast"/>
          <w:cantSplit w:val="true"/>
        </w:trPr>
        <w:tc>
          <w:tcPr>
            <w:tcW w:w="11043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В) Усклађеност са граничним вредностима емисије (ГВЕ)</w:t>
            </w:r>
          </w:p>
        </w:tc>
      </w:tr>
      <w:tr>
        <w:trPr>
          <w:trHeight w:val="304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В1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у извештају овлашћеног лица примењене правилне ГВЕ вредности које су прописане уредбом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В2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(Одговорити за свако узорковање појединачне загађујуће материје из извештаја о мерењу)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В3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надлежном органу који је изузео постројење од примене ГВЕ)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312" w:hRule="atLeast"/>
          <w:cantSplit w:val="true"/>
        </w:trPr>
        <w:tc>
          <w:tcPr>
            <w:tcW w:w="11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Г) Рад уређаја за смањивање емисије (испуштања)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Г1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постоји евиденција о раду уређаја за спречавање или смањивање емисије загађујућих материја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Г2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Да ли је постројење било у раду мање од 24 часа непрекидно и мање од 120 часова у календарској години, током прекида рада уређаја за уклањање загађујућих материја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</w:t>
            </w:r>
            <w:r>
              <w:rPr>
                <w:rFonts w:cs="Segoe UI Symbol" w:ascii="Segoe UI Symbol" w:hAnsi="Segoe UI Symbol"/>
                <w:bCs/>
                <w:sz w:val="24"/>
                <w:szCs w:val="24"/>
                <w:lang w:val="sr-RS"/>
              </w:rPr>
              <w:t>☐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Г3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je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после мерења емисије, постројење са уређајима за смањивање емисије коришћен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и одржаван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тако да нема прекорачења ГВЕ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312" w:hRule="atLeast"/>
          <w:cantSplit w:val="true"/>
        </w:trPr>
        <w:tc>
          <w:tcPr>
            <w:tcW w:w="11043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Д) Достава података државним органима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Д1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до 31. марта достављен Извештај о годишњем билансу емисија (односно Образац број 2-Емисије у ваздух), који је попуњен за све испусте отпадних гасова, Агенцији (за  постројења топлотног излаза преко 50MWth), односно јединици локалне самоуправе (за постројења топлотног излаза од 1 до 50MWth)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Д2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Д3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оператер доставио извештаје о повременим мерењима емисије надлежном органу (јединица локалне самоуправе, аутономна покрајина или Агенција)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 xml:space="preserve">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у року 30 дана од завршетка мерења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Није применљиво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312" w:hRule="atLeast"/>
          <w:cantSplit w:val="true"/>
        </w:trPr>
        <w:tc>
          <w:tcPr>
            <w:tcW w:w="11043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Ђ) Нова и реконструисана постројења после 23.05.2009.године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Ђ1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на основу Закона о заштити ваздуха надлежни орган издао дозволу или привремено одобрио рад постројења које је изграђено или реконструисано после 23.05.2009.године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(Обавеза не постоји за постројење за које је прописано издавање интергисане дозволе, за постројење за које је прописана обавезна процена утицаја на животну средину и за постројење за које је надлежни орган одлучио да је потребна израда студије о процени утицаја на животну средину)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Times New Roman" w:ascii="Times New Roman" w:hAnsi="Times New Roman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Ђ2</w:t>
            </w:r>
          </w:p>
        </w:tc>
        <w:tc>
          <w:tcPr>
            <w:tcW w:w="7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 које је изграђено или реконструисано после 23.05.2009.године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Style w:val="TableGrid"/>
        <w:tblW w:w="11093" w:type="dxa"/>
        <w:jc w:val="left"/>
        <w:tblInd w:w="-90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7"/>
        <w:gridCol w:w="3696"/>
        <w:gridCol w:w="2"/>
        <w:gridCol w:w="3698"/>
      </w:tblGrid>
      <w:tr>
        <w:trPr/>
        <w:tc>
          <w:tcPr>
            <w:tcW w:w="739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оператера</w:t>
            </w:r>
          </w:p>
        </w:tc>
        <w:tc>
          <w:tcPr>
            <w:tcW w:w="370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697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  <w:tc>
          <w:tcPr>
            <w:tcW w:w="3698" w:type="dxa"/>
            <w:gridSpan w:val="2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69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697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698" w:type="dxa"/>
            <w:gridSpan w:val="2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698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</w:tr>
      <w:tr>
        <w:trPr/>
        <w:tc>
          <w:tcPr>
            <w:tcW w:w="3697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698" w:type="dxa"/>
            <w:gridSpan w:val="2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9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697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698" w:type="dxa"/>
            <w:gridSpan w:val="2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9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/>
        <w:tc>
          <w:tcPr>
            <w:tcW w:w="11093" w:type="dxa"/>
            <w:gridSpan w:val="4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надзора:</w:t>
            </w:r>
          </w:p>
        </w:tc>
      </w:tr>
      <w:tr>
        <w:trPr>
          <w:trHeight w:val="314" w:hRule="atLeast"/>
        </w:trPr>
        <w:tc>
          <w:tcPr>
            <w:tcW w:w="11093" w:type="dxa"/>
            <w:gridSpan w:val="4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454" w:top="1440" w:footer="454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50731355"/>
    </w:sdtPr>
    <w:sdtContent>
      <w:p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/3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3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842"/>
      <w:gridCol w:w="2700"/>
    </w:tblGrid>
    <w:tr>
      <w:trPr>
        <w:trHeight w:val="108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lang w:val="sr-Latn-RS" w:eastAsia="sr-Latn-RS"/>
            </w:rPr>
          </w:pPr>
          <w:r>
            <w:rPr/>
            <w:drawing>
              <wp:inline distT="0" distB="0" distL="0" distR="0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tcBorders/>
          <w:shd w:color="auto" w:fill="auto" w:val="clear"/>
          <w:vAlign w:val="center"/>
        </w:tcPr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Република Србија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ОПШТИНА СУРДУЛИЦА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ОПШТИНСКА УПРАВА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Одељење за урбанизам ,стамбено-комуналне,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грађевинске и имовинско-правне послове,</w:t>
          </w:r>
        </w:p>
        <w:p>
          <w:pPr>
            <w:pStyle w:val="Normal"/>
            <w:spacing w:lineRule="auto" w:line="240" w:before="0" w:after="0"/>
            <w:ind w:left="0" w:hanging="0"/>
            <w:rPr>
              <w:rFonts w:ascii="Times New Roman" w:hAnsi="Times New Roman" w:eastAsia="Times New Roman" w:cs="Times New Roman"/>
              <w:b/>
              <w:b/>
              <w:lang w:val="ru-RU" w:eastAsia="sr-Latn-RS"/>
            </w:rPr>
          </w:pPr>
          <w:r>
            <w:rPr>
              <w:rFonts w:eastAsia="Times New Roman" w:cs="Times New Roman" w:ascii="Times New Roman" w:hAnsi="Times New Roman"/>
              <w:b/>
              <w:bCs w:val="false"/>
              <w:sz w:val="24"/>
              <w:szCs w:val="24"/>
              <w:lang w:val="sr-CS" w:eastAsia="sr-Latn-RS"/>
            </w:rPr>
            <w:t>Број: 501-</w:t>
          </w:r>
        </w:p>
      </w:tc>
      <w:tc>
        <w:tcPr>
          <w:tcW w:w="2700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RS" w:eastAsia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 w:eastAsia="sr-Latn-RS"/>
            </w:rPr>
            <w:t>Шифра: КЛ-03-02/06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Датум: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 xml:space="preserve"> 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27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.1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.202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3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bCs/>
              <w:sz w:val="24"/>
              <w:szCs w:val="24"/>
              <w:lang w:val="sr-RS" w:eastAsia="sr-Latn-RS"/>
            </w:rPr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sr-RS" w:eastAsia="sr-Latn-RS"/>
            </w:rPr>
            <w:t>ИНД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f4b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f4bb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23a58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23a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BE48-62FB-4FB6-87D2-C269827B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LibreOffice/6.4.5.2$Windows_x86 LibreOffice_project/a726b36747cf2001e06b58ad5db1aa3a9a1872d6</Application>
  <Pages>4</Pages>
  <Words>971</Words>
  <Characters>5131</Characters>
  <CharactersWithSpaces>6007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2022-12-09T13:09:00Z</dcterms:created>
  <dc:creator>Aleksandar</dc:creator>
  <dc:description/>
  <dc:language>en-US</dc:language>
  <cp:lastModifiedBy/>
  <cp:lastPrinted>2019-03-06T06:36:00Z</cp:lastPrinted>
  <dcterms:modified xsi:type="dcterms:W3CDTF">2024-11-18T10:11:23Z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